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2898" w:rsidRPr="00510B06" w:rsidRDefault="00642898" w:rsidP="00642898">
      <w:pPr>
        <w:spacing w:line="560" w:lineRule="exact"/>
        <w:ind w:leftChars="-50" w:left="-158" w:rightChars="-44" w:right="-139"/>
        <w:jc w:val="center"/>
        <w:rPr>
          <w:rFonts w:ascii="方正小标宋简体" w:eastAsia="方正小标宋简体" w:hint="eastAsia"/>
          <w:sz w:val="44"/>
          <w:szCs w:val="40"/>
        </w:rPr>
      </w:pPr>
      <w:bookmarkStart w:id="0" w:name="_GoBack"/>
      <w:bookmarkEnd w:id="0"/>
      <w:r w:rsidRPr="00510B06">
        <w:rPr>
          <w:rFonts w:ascii="方正小标宋简体" w:eastAsia="方正小标宋简体" w:hAnsi="宋体" w:hint="eastAsia"/>
          <w:sz w:val="44"/>
          <w:szCs w:val="40"/>
        </w:rPr>
        <w:t>四川省散装水泥应用条例</w:t>
      </w:r>
    </w:p>
    <w:p w:rsidR="00642898" w:rsidRPr="00510B06" w:rsidRDefault="00642898" w:rsidP="00642898">
      <w:pPr>
        <w:spacing w:line="560" w:lineRule="exact"/>
        <w:ind w:leftChars="-50" w:left="-158" w:rightChars="-44" w:right="-139"/>
        <w:jc w:val="center"/>
        <w:rPr>
          <w:rFonts w:ascii="方正小标宋_GBK" w:eastAsia="方正小标宋_GBK"/>
          <w:sz w:val="44"/>
          <w:szCs w:val="40"/>
        </w:rPr>
      </w:pPr>
      <w:r w:rsidRPr="00510B06">
        <w:rPr>
          <w:rFonts w:ascii="仿宋_GB2312" w:hAnsi="仿宋" w:hint="eastAsia"/>
          <w:szCs w:val="30"/>
        </w:rPr>
        <w:t>（</w:t>
      </w:r>
      <w:r w:rsidRPr="00510B06">
        <w:rPr>
          <w:rFonts w:ascii="仿宋_GB2312" w:hAnsi="仿宋" w:cs="Arial" w:hint="eastAsia"/>
          <w:color w:val="000000"/>
          <w:szCs w:val="30"/>
        </w:rPr>
        <w:t>草案）</w:t>
      </w:r>
    </w:p>
    <w:p w:rsidR="00642898" w:rsidRPr="00510B06" w:rsidRDefault="00642898" w:rsidP="00642898">
      <w:pPr>
        <w:spacing w:line="560" w:lineRule="exact"/>
        <w:ind w:rightChars="-44" w:right="-139"/>
        <w:jc w:val="center"/>
        <w:rPr>
          <w:rFonts w:ascii="仿宋_GB2312"/>
          <w:szCs w:val="30"/>
        </w:rPr>
      </w:pP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第一条</w:t>
      </w:r>
      <w:r w:rsidRPr="00510B06">
        <w:rPr>
          <w:rFonts w:ascii="仿宋_GB2312"/>
          <w:szCs w:val="30"/>
        </w:rPr>
        <w:t xml:space="preserve">  </w:t>
      </w:r>
      <w:r w:rsidRPr="00510B06">
        <w:rPr>
          <w:rFonts w:ascii="仿宋_GB2312" w:hint="eastAsia"/>
          <w:szCs w:val="30"/>
        </w:rPr>
        <w:t>为节约资源和能源，减少污染物排放，提高建设工程质量，根据《中华人民共和国循环经济促进法》等法律法规，结合四川省实际，制定本条例。</w:t>
      </w:r>
    </w:p>
    <w:p w:rsidR="00642898" w:rsidRPr="00510B06" w:rsidRDefault="00642898" w:rsidP="00510B06">
      <w:pPr>
        <w:spacing w:line="560" w:lineRule="exact"/>
        <w:ind w:leftChars="-50" w:left="-158" w:rightChars="-44" w:right="-139" w:firstLineChars="200" w:firstLine="632"/>
        <w:rPr>
          <w:rFonts w:ascii="仿宋_GB2312" w:hAnsi="Calibri"/>
          <w:szCs w:val="30"/>
        </w:rPr>
      </w:pPr>
      <w:r w:rsidRPr="00510B06">
        <w:rPr>
          <w:rFonts w:ascii="黑体" w:eastAsia="黑体" w:hAnsi="黑体" w:hint="eastAsia"/>
          <w:szCs w:val="30"/>
        </w:rPr>
        <w:t>第二条</w:t>
      </w:r>
      <w:r w:rsidRPr="00510B06">
        <w:rPr>
          <w:rFonts w:ascii="黑体" w:eastAsia="黑体" w:hAnsi="黑体"/>
          <w:szCs w:val="30"/>
        </w:rPr>
        <w:t xml:space="preserve"> </w:t>
      </w:r>
      <w:r w:rsidRPr="00510B06">
        <w:rPr>
          <w:rFonts w:ascii="仿宋_GB2312" w:hint="eastAsia"/>
          <w:szCs w:val="30"/>
        </w:rPr>
        <w:t>本省行政区域内散装水泥的发展应用，预拌混凝土、预拌砂浆和混凝土预制构件的生产、销售、运输、使用及监督管理，适用本条例。</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第三条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水泥生产和使用应当坚持发展散装、限制袋装的原则。</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第四条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县级以上地方人民政府应当将散装水泥发展纳入本地国民经济和社会发展规划，通过预拌混凝土、预拌砂浆和混凝土预制构件的推广促进散装水泥的发展和应用。</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第五条</w:t>
      </w:r>
      <w:r w:rsidRPr="00510B06">
        <w:rPr>
          <w:rFonts w:ascii="黑体" w:eastAsia="黑体" w:hAnsi="黑体"/>
          <w:szCs w:val="30"/>
        </w:rPr>
        <w:t xml:space="preserve"> </w:t>
      </w:r>
      <w:r w:rsidRPr="006D1013">
        <w:rPr>
          <w:rFonts w:ascii="仿宋_GB2312"/>
          <w:szCs w:val="30"/>
        </w:rPr>
        <w:t xml:space="preserve"> </w:t>
      </w:r>
      <w:r w:rsidRPr="006D1013">
        <w:rPr>
          <w:rFonts w:ascii="仿宋_GB2312" w:hint="eastAsia"/>
          <w:szCs w:val="30"/>
        </w:rPr>
        <w:t>县级以上地方人民政府住房城乡建设行政主管部门负责本行政区域内散装水泥</w:t>
      </w:r>
      <w:r w:rsidR="009F4A5F" w:rsidRPr="006D1013">
        <w:rPr>
          <w:rFonts w:ascii="仿宋_GB2312" w:hint="eastAsia"/>
          <w:szCs w:val="30"/>
        </w:rPr>
        <w:t>、预拌混凝土、预拌砂浆和混凝土预制构件发展和应用的监督管理工作，用法律手段、市场手段以及必要的行政手段推广散装水泥，避免形成垄断。</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县级以上地方人民政府设立的散装水泥管理机构负责散装水泥发展和应用的具体管理工作，所需工作经费按照规定纳入本级财政预算。</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县级以上地方人民政府发展改革、经济和信息化、公安、财政、环境保护、交通运输、水利、质量技术监督等部门，按照各自的职</w:t>
      </w:r>
      <w:r w:rsidRPr="00510B06">
        <w:rPr>
          <w:rFonts w:ascii="仿宋_GB2312" w:hint="eastAsia"/>
          <w:szCs w:val="30"/>
        </w:rPr>
        <w:lastRenderedPageBreak/>
        <w:t>责做好散装水泥、预拌混凝土、预拌砂浆和混凝土预制构件发展和应用的相关监督管理。</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乡（镇）人民政府、街道办事处协助有关部门做好散装水泥发展和应用工作。</w:t>
      </w:r>
    </w:p>
    <w:p w:rsidR="00642898" w:rsidRPr="00DE745C"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第六条</w:t>
      </w:r>
      <w:r w:rsidRPr="00510B06">
        <w:rPr>
          <w:rFonts w:ascii="黑体" w:eastAsia="黑体" w:hAnsi="黑体"/>
          <w:szCs w:val="30"/>
        </w:rPr>
        <w:t xml:space="preserve"> </w:t>
      </w:r>
      <w:r w:rsidRPr="00510B06">
        <w:rPr>
          <w:rFonts w:ascii="仿宋_GB2312"/>
          <w:szCs w:val="30"/>
        </w:rPr>
        <w:t xml:space="preserve"> </w:t>
      </w:r>
      <w:r w:rsidRPr="007715FC">
        <w:rPr>
          <w:rFonts w:ascii="仿宋_GB2312" w:hint="eastAsia"/>
          <w:szCs w:val="30"/>
        </w:rPr>
        <w:t>省人民政府住房城乡建设行政主管部门应当会同有关部门</w:t>
      </w:r>
      <w:r w:rsidR="009F4A5F" w:rsidRPr="007715FC">
        <w:rPr>
          <w:rFonts w:ascii="仿宋_GB2312" w:hint="eastAsia"/>
          <w:szCs w:val="30"/>
        </w:rPr>
        <w:t>按照合理布局、优化产能、适应市场、规范发展的原则</w:t>
      </w:r>
      <w:r w:rsidRPr="007715FC">
        <w:rPr>
          <w:rFonts w:ascii="仿宋_GB2312" w:hint="eastAsia"/>
          <w:szCs w:val="30"/>
        </w:rPr>
        <w:t>编制全省散装水泥发展和应用专项规划。散装水泥发展</w:t>
      </w:r>
      <w:r w:rsidR="009F4A5F" w:rsidRPr="007715FC">
        <w:rPr>
          <w:rFonts w:ascii="仿宋_GB2312" w:hint="eastAsia"/>
          <w:szCs w:val="30"/>
        </w:rPr>
        <w:t>和应用专项</w:t>
      </w:r>
      <w:r w:rsidRPr="007715FC">
        <w:rPr>
          <w:rFonts w:ascii="仿宋_GB2312" w:hint="eastAsia"/>
          <w:szCs w:val="30"/>
        </w:rPr>
        <w:t>规划应当符合城乡规划、土地利用规划和环境保护等方面的要求。编制全省散装水泥发展和应用专项规划应当征求社会</w:t>
      </w:r>
      <w:r w:rsidR="00375507" w:rsidRPr="007715FC">
        <w:rPr>
          <w:rFonts w:ascii="仿宋_GB2312" w:hint="eastAsia"/>
          <w:szCs w:val="30"/>
        </w:rPr>
        <w:t>公众</w:t>
      </w:r>
      <w:r w:rsidRPr="007715FC">
        <w:rPr>
          <w:rFonts w:ascii="仿宋_GB2312" w:hint="eastAsia"/>
          <w:szCs w:val="30"/>
        </w:rPr>
        <w:t>和企业意见。</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市（州）、县（市、区）人民政府住房城乡建设行政主管部门应当根据全省散装水泥发展和应用专项规划要求，结合本地实际，编制本地散装水泥发展和应用专项规划。</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第七条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水泥、预拌混凝土、预拌砂浆和混凝土预制构件的生产企业符合国家有关循环经济发展、清洁生产规定的，经依法认定后可以享受相关税收优惠。</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第八条</w:t>
      </w:r>
      <w:r w:rsidRPr="00510B06">
        <w:rPr>
          <w:rFonts w:ascii="黑体" w:eastAsia="黑体" w:hAnsi="黑体"/>
          <w:szCs w:val="30"/>
        </w:rPr>
        <w:t xml:space="preserve"> </w:t>
      </w:r>
      <w:r w:rsidRPr="00510B06">
        <w:rPr>
          <w:rFonts w:ascii="仿宋_GB2312" w:hint="eastAsia"/>
          <w:szCs w:val="30"/>
        </w:rPr>
        <w:t>市（州）、县（市、区）人民政府对符合城乡规划、土地利用规划的预拌混凝土和预拌砂浆建设项目，需要进行土地征收和农用地转用的，在土地利用年度计划内优先安排。</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第九条</w:t>
      </w:r>
      <w:r w:rsidRPr="00510B06">
        <w:rPr>
          <w:rFonts w:ascii="仿宋_GB2312"/>
          <w:szCs w:val="30"/>
        </w:rPr>
        <w:t xml:space="preserve">  </w:t>
      </w:r>
      <w:r w:rsidRPr="00510B06">
        <w:rPr>
          <w:rFonts w:ascii="仿宋_GB2312" w:hint="eastAsia"/>
          <w:szCs w:val="30"/>
        </w:rPr>
        <w:t>鼓励科研机构、企业等对散装水泥、预拌混凝土、预拌砂浆和混凝土预制构件等新产品、新工艺、新设备的研发；开发适合农村发展散装水泥、预拌混凝土、预拌砂浆的配套装备。</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第十条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省人民政府住房城乡建设行政主管部门应当组织实施散装水泥、预拌混凝土、预拌砂浆和混凝土预制构件先进适用技</w:t>
      </w:r>
      <w:r w:rsidRPr="00510B06">
        <w:rPr>
          <w:rFonts w:ascii="仿宋_GB2312" w:hint="eastAsia"/>
          <w:szCs w:val="30"/>
        </w:rPr>
        <w:lastRenderedPageBreak/>
        <w:t>术、新产品、新工艺及配套装备的应用与推广，公布预拌混凝土和预拌砂浆行业发展信息。</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第十一条</w:t>
      </w:r>
      <w:r w:rsidRPr="00510B06">
        <w:rPr>
          <w:rFonts w:ascii="仿宋_GB2312"/>
          <w:szCs w:val="30"/>
        </w:rPr>
        <w:t xml:space="preserve"> </w:t>
      </w:r>
      <w:r w:rsidRPr="00510B06">
        <w:rPr>
          <w:rFonts w:ascii="仿宋_GB2312" w:hint="eastAsia"/>
          <w:szCs w:val="30"/>
        </w:rPr>
        <w:t>县级以上地方人民政府及有关部门应当鼓励和引导水泥生产、经营等相关企业在农村设立散装水泥销售网点，推进散装水泥在农村的应用，鼓励农村使用预拌混凝土和预拌砂浆。</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第十二条</w:t>
      </w:r>
      <w:r w:rsidRPr="00510B06">
        <w:rPr>
          <w:rFonts w:ascii="黑体" w:eastAsia="黑体" w:hAnsi="黑体"/>
          <w:szCs w:val="30"/>
        </w:rPr>
        <w:t xml:space="preserve"> </w:t>
      </w:r>
      <w:r w:rsidRPr="00510B06">
        <w:rPr>
          <w:rFonts w:ascii="仿宋_GB2312" w:hint="eastAsia"/>
          <w:szCs w:val="30"/>
        </w:rPr>
        <w:t>企业新建、改建预拌混凝土和预拌砂浆搅拌站，应当按照无粉尘污染、低噪音生产、废弃物零排放、运输车辆清洁化的绿色环保标准进行设计和建设。</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第十三条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鼓励物流企业建立规模化、专业化的散装水泥、预拌混凝土和预拌砂浆现代物流服务体系。</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物流企业应当使用符合国家标准的专用车辆。</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第十四条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散装水泥、预拌混凝土、预拌砂浆和混凝土预制构件专用车辆确需在交通管理限制路段通行、停靠的，公安机关交通管理部门应当按照有关规定提供通行便利。</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第十五条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将预拌混凝土、预拌砂浆和混凝土预制构件列入新型墙</w:t>
      </w:r>
      <w:proofErr w:type="gramStart"/>
      <w:r w:rsidRPr="00510B06">
        <w:rPr>
          <w:rFonts w:ascii="仿宋_GB2312" w:hint="eastAsia"/>
          <w:szCs w:val="30"/>
        </w:rPr>
        <w:t>体材</w:t>
      </w:r>
      <w:proofErr w:type="gramEnd"/>
      <w:r w:rsidRPr="00510B06">
        <w:rPr>
          <w:rFonts w:ascii="仿宋_GB2312" w:hint="eastAsia"/>
          <w:szCs w:val="30"/>
        </w:rPr>
        <w:t>料目录，纳入新型墙</w:t>
      </w:r>
      <w:proofErr w:type="gramStart"/>
      <w:r w:rsidRPr="00510B06">
        <w:rPr>
          <w:rFonts w:ascii="仿宋_GB2312" w:hint="eastAsia"/>
          <w:szCs w:val="30"/>
        </w:rPr>
        <w:t>体材</w:t>
      </w:r>
      <w:proofErr w:type="gramEnd"/>
      <w:r w:rsidRPr="00510B06">
        <w:rPr>
          <w:rFonts w:ascii="仿宋_GB2312" w:hint="eastAsia"/>
          <w:szCs w:val="30"/>
        </w:rPr>
        <w:t>料专项基金支持范围。按照国家规定征收、管理、使用新型墙</w:t>
      </w:r>
      <w:proofErr w:type="gramStart"/>
      <w:r w:rsidRPr="00510B06">
        <w:rPr>
          <w:rFonts w:ascii="仿宋_GB2312" w:hint="eastAsia"/>
          <w:szCs w:val="30"/>
        </w:rPr>
        <w:t>体材</w:t>
      </w:r>
      <w:proofErr w:type="gramEnd"/>
      <w:r w:rsidRPr="00510B06">
        <w:rPr>
          <w:rFonts w:ascii="仿宋_GB2312" w:hint="eastAsia"/>
          <w:szCs w:val="30"/>
        </w:rPr>
        <w:t>料专项基金。</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第十六条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市、县（市、区）人民政府依据有关法规、规章和国家有关规定划定禁止建设工程项目使用袋装水泥、建设施工单位在施工现场搅拌混凝土和砂浆、设置移动式搅拌站的范围。本条例另有规定的除外。</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前款规定的具体范围，由市、县（市、区）人民政府住房城乡建设行政主管部门会同有关部门拟定，报经同级人民政府批准后组</w:t>
      </w:r>
      <w:r w:rsidRPr="00510B06">
        <w:rPr>
          <w:rFonts w:ascii="仿宋_GB2312" w:hint="eastAsia"/>
          <w:szCs w:val="30"/>
        </w:rPr>
        <w:lastRenderedPageBreak/>
        <w:t>织实施，并向社会公布。</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交通、水利、能源等大中型建设工程项目配套设置的预拌混凝土、预拌砂浆临时搅拌站只能为该建设工程项目提供预拌混凝土、预拌砂浆，并应当在建设工程竣工验收后依法自行拆除。</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第十七条</w:t>
      </w:r>
      <w:r w:rsidRPr="00510B06">
        <w:rPr>
          <w:rFonts w:ascii="黑体" w:eastAsia="黑体" w:hAnsi="黑体"/>
          <w:szCs w:val="30"/>
        </w:rPr>
        <w:t xml:space="preserve"> </w:t>
      </w:r>
      <w:r w:rsidRPr="00510B06">
        <w:rPr>
          <w:rFonts w:ascii="仿宋_GB2312" w:hint="eastAsia"/>
          <w:szCs w:val="30"/>
        </w:rPr>
        <w:t>企业生产预拌混凝土、预拌砂浆和混凝土预制构件，应当全部使用散装水泥。</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Ansi="Arial" w:cs="Arial" w:hint="eastAsia"/>
          <w:szCs w:val="30"/>
        </w:rPr>
        <w:t>在市、县（市、区）人民政府依法规定的限制区域外，交通、能源、水利、港口等重点建设工程以及政府投资的建设工程，应当使用散装水泥。</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第十八条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本条例规定使用预拌混凝土、预拌砂浆和混凝土预制构件的建设工程，应当适用下列规定：</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（一）建设单位不得要求施工单位使用袋装水泥；</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（二）实行招标投标的建设工程，招标人或者招标代理人应当将使用预拌混凝土、预拌砂浆和混凝土预制构件的要求列入招标文件；</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（三）设计单位应当按照使用预拌混凝土、预拌砂浆和混凝土预制构件的要求进行设计，并在施工图设计文件中标明等级标准；</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（四）施工图审查机构对未按照规定标明使用预拌混凝土、预拌砂浆等级的施工图设计文件，不予审查通过；</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（五）施工、监理单位应当按照施工图设计文件中使用预拌混凝土、预拌砂浆和混凝土预制构件的要求进行施工、监理；</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Ansi="微软雅黑" w:hint="eastAsia"/>
          <w:color w:val="000000"/>
          <w:szCs w:val="30"/>
        </w:rPr>
        <w:t>（六）建设工程项目竣工验收时，应当将项目使用散装水泥、预拌混凝土和预拌砂浆的应用情况作为竣工验收的内容</w:t>
      </w:r>
      <w:r w:rsidRPr="00510B06">
        <w:rPr>
          <w:rFonts w:ascii="仿宋_GB2312" w:hAnsi="微软雅黑" w:hint="eastAsia"/>
          <w:color w:val="000000"/>
          <w:spacing w:val="-4"/>
          <w:szCs w:val="30"/>
        </w:rPr>
        <w:t>。</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lastRenderedPageBreak/>
        <w:t>第十九条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属于本条例第十六条第一款和第十七条第二款规定的建设工程项目，有下列情形之一的，可以使用袋装水泥：</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（一）散装水泥专用车辆无法到达施工现场的；</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（二）使用特种水泥或者施工工艺有特殊要求的；</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（三）水泥使用总量不超过</w:t>
      </w:r>
      <w:r w:rsidRPr="00510B06">
        <w:rPr>
          <w:rFonts w:ascii="仿宋_GB2312"/>
          <w:szCs w:val="30"/>
        </w:rPr>
        <w:t>30</w:t>
      </w:r>
      <w:r w:rsidRPr="00510B06">
        <w:rPr>
          <w:rFonts w:ascii="仿宋_GB2312" w:hint="eastAsia"/>
          <w:szCs w:val="30"/>
        </w:rPr>
        <w:t>吨的。</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第二十条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属于本条例第十六条第一款规定的建设工程项目，有下列情形之一的，可以现场搅拌混凝土和砂浆：</w:t>
      </w:r>
    </w:p>
    <w:p w:rsidR="00642898" w:rsidRPr="00510B06" w:rsidRDefault="00642898" w:rsidP="00510B06">
      <w:pPr>
        <w:spacing w:line="560" w:lineRule="exact"/>
        <w:ind w:leftChars="-50" w:left="-158" w:rightChars="-44" w:right="-139" w:firstLineChars="200" w:firstLine="632"/>
        <w:rPr>
          <w:rFonts w:ascii="仿宋_GB2312"/>
          <w:i/>
          <w:szCs w:val="30"/>
          <w:u w:val="single"/>
        </w:rPr>
      </w:pPr>
      <w:r w:rsidRPr="00510B06">
        <w:rPr>
          <w:rFonts w:ascii="仿宋_GB2312" w:hint="eastAsia"/>
          <w:szCs w:val="30"/>
        </w:rPr>
        <w:t>（一）建设工程混凝土累计使用总量在</w:t>
      </w:r>
      <w:r w:rsidRPr="00510B06">
        <w:rPr>
          <w:rFonts w:ascii="仿宋_GB2312"/>
          <w:szCs w:val="30"/>
        </w:rPr>
        <w:t>200</w:t>
      </w:r>
      <w:r w:rsidRPr="00510B06">
        <w:rPr>
          <w:rFonts w:ascii="仿宋_GB2312" w:hint="eastAsia"/>
          <w:szCs w:val="30"/>
        </w:rPr>
        <w:t>立方米以下的；</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（二）砂浆累计使用总量在</w:t>
      </w:r>
      <w:r w:rsidRPr="00510B06">
        <w:rPr>
          <w:rFonts w:ascii="仿宋_GB2312"/>
          <w:szCs w:val="30"/>
        </w:rPr>
        <w:t>100</w:t>
      </w:r>
      <w:r w:rsidRPr="00510B06">
        <w:rPr>
          <w:rFonts w:ascii="仿宋_GB2312" w:hint="eastAsia"/>
          <w:szCs w:val="30"/>
        </w:rPr>
        <w:t>吨以下的；</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（三）距施工现场运输距离</w:t>
      </w:r>
      <w:r w:rsidRPr="00510B06">
        <w:rPr>
          <w:rFonts w:ascii="仿宋_GB2312"/>
          <w:szCs w:val="30"/>
        </w:rPr>
        <w:t>80</w:t>
      </w:r>
      <w:r w:rsidRPr="00510B06">
        <w:rPr>
          <w:rFonts w:ascii="仿宋_GB2312" w:hint="eastAsia"/>
          <w:szCs w:val="30"/>
        </w:rPr>
        <w:t>公里内无预拌混凝土、预拌砂浆供应的。</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第二十一条</w:t>
      </w:r>
      <w:r w:rsidRPr="00510B06">
        <w:rPr>
          <w:rFonts w:ascii="黑体" w:eastAsia="黑体" w:hAnsi="黑体"/>
          <w:szCs w:val="30"/>
        </w:rPr>
        <w:t xml:space="preserve"> </w:t>
      </w:r>
      <w:r w:rsidRPr="00510B06">
        <w:rPr>
          <w:rFonts w:ascii="仿宋_GB2312" w:hint="eastAsia"/>
          <w:szCs w:val="30"/>
        </w:rPr>
        <w:t>新建、改建、扩建预拌混凝土和预拌砂浆生产项目应当符合当地散装水泥发展和应用专项规划，并开展环境影响评价。</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预拌砂浆生产企业应当按照国家有关规定向所在市（州）散装水泥管理机构备案。</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新建、改建、扩建水泥生产项目，应当按照散装水泥发放能力不低于国家规定的标准和环境保护要求进行设计、建设。</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现有以生产袋装水泥为主的水泥生产企业，应当限期进行技术改造，达到散装水泥发放能力标准。</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第二十二条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住房城乡建设行政主管部门对散装水泥、预拌混凝土和预拌砂浆相关生产、使用企业进行信用监督管理，对违法违规和出现质量安全事故的企业进行重点监督管理，并将监督管理情</w:t>
      </w:r>
      <w:r w:rsidRPr="00510B06">
        <w:rPr>
          <w:rFonts w:ascii="仿宋_GB2312" w:hint="eastAsia"/>
          <w:szCs w:val="30"/>
        </w:rPr>
        <w:lastRenderedPageBreak/>
        <w:t>况及时向社会公告。</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第二十三条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水泥、预拌混凝土、预拌砂浆和混凝土预制构件生产企业应当建立健全质量控制体系，严格质量和计量管理，产品应当符合相关质量标准和计量要求。</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质量技术监督部门应当对散装水泥、预拌混凝土、预拌砂浆和混凝土预制构件生产企业的设备质量和计量进行监督。</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住房城乡建设行政主管部门应当对建设工程中预拌混凝土和预拌砂浆</w:t>
      </w:r>
      <w:r w:rsidR="00DE745C">
        <w:rPr>
          <w:rFonts w:ascii="仿宋_GB2312" w:hint="eastAsia"/>
          <w:szCs w:val="30"/>
        </w:rPr>
        <w:t>的</w:t>
      </w:r>
      <w:r w:rsidRPr="00510B06">
        <w:rPr>
          <w:rFonts w:ascii="仿宋_GB2312" w:hint="eastAsia"/>
          <w:szCs w:val="30"/>
        </w:rPr>
        <w:t>生产和使用质量进行监督。</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环境保护行政主管部门应当对水泥、预拌混凝土、预拌砂浆和混凝土预制构件生产企业的环境保护工作进行监督管理。</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第二十四条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住房城乡建设行政主管部门、城市管理执法部门应当建立建设工程项目违法使用袋装水泥、现场搅拌混凝土和砂浆的监督管理制度，及时发现、制止违法行为。</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第二十五条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水泥、预拌混凝土、预拌砂浆和混凝土预制构件</w:t>
      </w:r>
      <w:r w:rsidR="00DE745C">
        <w:rPr>
          <w:rFonts w:ascii="仿宋_GB2312" w:hint="eastAsia"/>
          <w:szCs w:val="30"/>
        </w:rPr>
        <w:t>的</w:t>
      </w:r>
      <w:r w:rsidRPr="00510B06">
        <w:rPr>
          <w:rFonts w:ascii="仿宋_GB2312" w:hint="eastAsia"/>
          <w:szCs w:val="30"/>
        </w:rPr>
        <w:t>生产、经营、使用单位，应当按照国家有关规定报送统计报表。</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第二十六条</w:t>
      </w:r>
      <w:r w:rsidRPr="00510B06">
        <w:rPr>
          <w:rFonts w:ascii="仿宋_GB2312"/>
          <w:szCs w:val="30"/>
        </w:rPr>
        <w:t xml:space="preserve">  </w:t>
      </w:r>
      <w:r w:rsidRPr="00510B06">
        <w:rPr>
          <w:rFonts w:ascii="仿宋_GB2312" w:hint="eastAsia"/>
          <w:szCs w:val="30"/>
        </w:rPr>
        <w:t>散装水泥、预拌混凝土和预拌砂浆专用车辆装载水泥、混凝土和砂浆，应当符合核定载重量进行标准装载，严禁超载超限超速，防止抛洒滴漏，保持车辆清洁。</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第二十七条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违反本条例规定的行为，法律、法规已有规定的，从其规定。</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第二十八条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违反本条例第十六条第一款和第十七条规定使用袋装水泥的，由县级以上地方人民政府住房城乡建设行政主管部门或者城市管理执法部门责令停止违法行为，并处</w:t>
      </w:r>
      <w:r w:rsidRPr="00510B06">
        <w:rPr>
          <w:rFonts w:ascii="仿宋_GB2312"/>
          <w:szCs w:val="30"/>
        </w:rPr>
        <w:t>1</w:t>
      </w:r>
      <w:r w:rsidRPr="00510B06">
        <w:rPr>
          <w:rFonts w:ascii="仿宋_GB2312" w:hint="eastAsia"/>
          <w:szCs w:val="30"/>
        </w:rPr>
        <w:t>万元以上</w:t>
      </w:r>
      <w:r w:rsidRPr="00510B06">
        <w:rPr>
          <w:rFonts w:ascii="仿宋_GB2312"/>
          <w:szCs w:val="30"/>
        </w:rPr>
        <w:t>3</w:t>
      </w:r>
      <w:r w:rsidRPr="00510B06">
        <w:rPr>
          <w:rFonts w:ascii="仿宋_GB2312" w:hint="eastAsia"/>
          <w:szCs w:val="30"/>
        </w:rPr>
        <w:t>万</w:t>
      </w:r>
      <w:r w:rsidRPr="00510B06">
        <w:rPr>
          <w:rFonts w:ascii="仿宋_GB2312" w:hint="eastAsia"/>
          <w:szCs w:val="30"/>
        </w:rPr>
        <w:lastRenderedPageBreak/>
        <w:t>元以下罚款。</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违反本条例第十六条第一款规定现场搅拌混凝土、砂浆的，由县级以上地方人民政府住房城乡建设行政主管部门或者城市管理执法部门责令限期改正；逾期不改正的，处</w:t>
      </w:r>
      <w:r w:rsidRPr="00510B06">
        <w:rPr>
          <w:rFonts w:ascii="仿宋_GB2312"/>
          <w:szCs w:val="30"/>
        </w:rPr>
        <w:t>1</w:t>
      </w:r>
      <w:r w:rsidRPr="00510B06">
        <w:rPr>
          <w:rFonts w:ascii="仿宋_GB2312" w:hint="eastAsia"/>
          <w:szCs w:val="30"/>
        </w:rPr>
        <w:t>万元以上</w:t>
      </w:r>
      <w:r w:rsidRPr="00510B06">
        <w:rPr>
          <w:rFonts w:ascii="仿宋_GB2312"/>
          <w:szCs w:val="30"/>
        </w:rPr>
        <w:t>5</w:t>
      </w:r>
      <w:r w:rsidRPr="00510B06">
        <w:rPr>
          <w:rFonts w:ascii="仿宋_GB2312" w:hint="eastAsia"/>
          <w:szCs w:val="30"/>
        </w:rPr>
        <w:t>万元以下罚款。</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第二十九条</w:t>
      </w:r>
      <w:r w:rsidRPr="00510B06">
        <w:rPr>
          <w:rFonts w:ascii="黑体" w:eastAsia="黑体" w:hAnsi="黑体"/>
          <w:szCs w:val="30"/>
        </w:rPr>
        <w:t xml:space="preserve">  </w:t>
      </w:r>
      <w:r w:rsidRPr="00510B06">
        <w:rPr>
          <w:rFonts w:ascii="仿宋_GB2312" w:hint="eastAsia"/>
          <w:szCs w:val="30"/>
        </w:rPr>
        <w:t>违反本条例第十八条规定情形之一的，由县级以上地方人民政府住房城乡建设行政主管部门责令限期改正，逾期未改正的，对建设单位、设计单位、施工图审查机构、施工单位、监理单位分别处</w:t>
      </w:r>
      <w:r w:rsidRPr="00510B06">
        <w:rPr>
          <w:rFonts w:ascii="仿宋_GB2312"/>
          <w:szCs w:val="30"/>
        </w:rPr>
        <w:t>2</w:t>
      </w:r>
      <w:r w:rsidRPr="00510B06">
        <w:rPr>
          <w:rFonts w:ascii="仿宋_GB2312" w:hint="eastAsia"/>
          <w:szCs w:val="30"/>
        </w:rPr>
        <w:t>万元以上</w:t>
      </w:r>
      <w:r w:rsidRPr="00510B06">
        <w:rPr>
          <w:rFonts w:ascii="仿宋_GB2312"/>
          <w:szCs w:val="30"/>
        </w:rPr>
        <w:t>5</w:t>
      </w:r>
      <w:r w:rsidRPr="00510B06">
        <w:rPr>
          <w:rFonts w:ascii="仿宋_GB2312" w:hint="eastAsia"/>
          <w:szCs w:val="30"/>
        </w:rPr>
        <w:t>万元以下罚款；情节严重的，分别处</w:t>
      </w:r>
      <w:r w:rsidRPr="00510B06">
        <w:rPr>
          <w:rFonts w:ascii="仿宋_GB2312"/>
          <w:szCs w:val="30"/>
        </w:rPr>
        <w:t>5</w:t>
      </w:r>
      <w:r w:rsidRPr="00510B06">
        <w:rPr>
          <w:rFonts w:ascii="仿宋_GB2312" w:hint="eastAsia"/>
          <w:szCs w:val="30"/>
        </w:rPr>
        <w:t>万元以上</w:t>
      </w:r>
      <w:r w:rsidRPr="00510B06">
        <w:rPr>
          <w:rFonts w:ascii="仿宋_GB2312"/>
          <w:szCs w:val="30"/>
        </w:rPr>
        <w:t>10</w:t>
      </w:r>
      <w:r w:rsidRPr="00510B06">
        <w:rPr>
          <w:rFonts w:ascii="仿宋_GB2312" w:hint="eastAsia"/>
          <w:szCs w:val="30"/>
        </w:rPr>
        <w:t>万元以下罚款。</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第三十条</w:t>
      </w:r>
      <w:r w:rsidRPr="00510B06">
        <w:rPr>
          <w:rFonts w:ascii="黑体" w:eastAsia="黑体" w:hAnsi="黑体"/>
          <w:szCs w:val="30"/>
        </w:rPr>
        <w:t xml:space="preserve">  </w:t>
      </w:r>
      <w:r w:rsidRPr="00510B06">
        <w:rPr>
          <w:rFonts w:ascii="仿宋_GB2312" w:hint="eastAsia"/>
          <w:szCs w:val="30"/>
        </w:rPr>
        <w:t>有关行政机关和散装水泥管理机构及其工作人员违反本条例规定，有下列行为之一的，由有关部门按照管理权限对直接负责的主管人员和其他直接责任人予以处分；构成犯罪的，依法追究刑事责任：</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（一）对符合国家和省相关技术标准、规程的预拌砂浆企业不依法备案的；</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（二）违反法律、法规规定，限制市场竞争的；</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（三）其他玩忽职守、徇私舞弊、滥用职权的。</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黑体" w:eastAsia="黑体" w:hAnsi="黑体" w:hint="eastAsia"/>
          <w:szCs w:val="30"/>
        </w:rPr>
        <w:t>第三十一条</w:t>
      </w:r>
      <w:r w:rsidRPr="00510B06">
        <w:rPr>
          <w:rFonts w:ascii="黑体" w:eastAsia="黑体" w:hAnsi="黑体"/>
          <w:szCs w:val="30"/>
        </w:rPr>
        <w:t xml:space="preserve">  </w:t>
      </w:r>
      <w:r w:rsidRPr="00510B06">
        <w:rPr>
          <w:rFonts w:ascii="仿宋_GB2312" w:hint="eastAsia"/>
          <w:szCs w:val="30"/>
        </w:rPr>
        <w:t>本条例下列用语的含义：</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散装水泥，是指不用包装，直接通过专用设备出厂、运输、储存和使用的水泥。</w:t>
      </w:r>
      <w:r w:rsidRPr="00510B06">
        <w:rPr>
          <w:rFonts w:ascii="仿宋_GB2312"/>
          <w:szCs w:val="30"/>
        </w:rPr>
        <w:t xml:space="preserve"> </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预拌混凝土，是指由水泥、集料、水以及所需的外加剂和掺合料等，在搅拌站按照一定比例计量、拌制后，通过专用设备运输、</w:t>
      </w:r>
      <w:r w:rsidRPr="00510B06">
        <w:rPr>
          <w:rFonts w:ascii="仿宋_GB2312" w:hint="eastAsia"/>
          <w:szCs w:val="30"/>
        </w:rPr>
        <w:lastRenderedPageBreak/>
        <w:t>使用的拌合物。</w:t>
      </w:r>
      <w:r w:rsidRPr="00510B06">
        <w:rPr>
          <w:rFonts w:ascii="仿宋_GB2312"/>
          <w:szCs w:val="30"/>
        </w:rPr>
        <w:t xml:space="preserve"> </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预拌砂浆，是指由水泥、</w:t>
      </w:r>
      <w:proofErr w:type="gramStart"/>
      <w:r w:rsidRPr="00510B06">
        <w:rPr>
          <w:rFonts w:ascii="仿宋_GB2312" w:hint="eastAsia"/>
          <w:szCs w:val="30"/>
        </w:rPr>
        <w:t>砂以及</w:t>
      </w:r>
      <w:proofErr w:type="gramEnd"/>
      <w:r w:rsidRPr="00510B06">
        <w:rPr>
          <w:rFonts w:ascii="仿宋_GB2312" w:hint="eastAsia"/>
          <w:szCs w:val="30"/>
        </w:rPr>
        <w:t>所需的外加剂和掺合料等，在搅拌站按一定比例计量、拌制后，通过专用设备运输、使用的拌合物。预拌砂浆</w:t>
      </w:r>
      <w:proofErr w:type="gramStart"/>
      <w:r w:rsidRPr="00510B06">
        <w:rPr>
          <w:rFonts w:ascii="仿宋_GB2312" w:hint="eastAsia"/>
          <w:szCs w:val="30"/>
        </w:rPr>
        <w:t>包括干混砂浆</w:t>
      </w:r>
      <w:proofErr w:type="gramEnd"/>
      <w:r w:rsidRPr="00510B06">
        <w:rPr>
          <w:rFonts w:ascii="仿宋_GB2312" w:hint="eastAsia"/>
          <w:szCs w:val="30"/>
        </w:rPr>
        <w:t>和湿拌砂浆。</w:t>
      </w:r>
    </w:p>
    <w:p w:rsidR="00642898" w:rsidRPr="00510B06" w:rsidRDefault="00642898" w:rsidP="00510B06">
      <w:pPr>
        <w:spacing w:line="560" w:lineRule="exact"/>
        <w:ind w:leftChars="-50" w:left="-158" w:rightChars="-44" w:right="-139" w:firstLineChars="200" w:firstLine="632"/>
        <w:rPr>
          <w:rFonts w:ascii="仿宋_GB2312"/>
          <w:szCs w:val="30"/>
        </w:rPr>
      </w:pPr>
      <w:r w:rsidRPr="00510B06">
        <w:rPr>
          <w:rFonts w:ascii="仿宋_GB2312" w:hint="eastAsia"/>
          <w:szCs w:val="30"/>
        </w:rPr>
        <w:t>混凝土预制构件，是指以混凝土为基本材料预先在工厂制成的建筑构件，包括梁、板、柱、建筑装饰配件等供施工现场装配的建筑构件。</w:t>
      </w:r>
    </w:p>
    <w:p w:rsidR="00642898" w:rsidRPr="00510B06" w:rsidRDefault="00642898" w:rsidP="00510B06">
      <w:pPr>
        <w:spacing w:line="560" w:lineRule="exact"/>
        <w:ind w:leftChars="-50" w:left="-158" w:rightChars="-44" w:right="-139" w:firstLineChars="200" w:firstLine="632"/>
        <w:rPr>
          <w:rFonts w:ascii="仿宋_GB2312" w:hAnsi="微软雅黑"/>
          <w:color w:val="000000"/>
          <w:szCs w:val="30"/>
        </w:rPr>
      </w:pPr>
      <w:r w:rsidRPr="00510B06">
        <w:rPr>
          <w:rFonts w:ascii="仿宋_GB2312" w:hAnsi="微软雅黑" w:hint="eastAsia"/>
          <w:color w:val="000000"/>
          <w:szCs w:val="30"/>
        </w:rPr>
        <w:t>建设工程，</w:t>
      </w:r>
      <w:proofErr w:type="gramStart"/>
      <w:r w:rsidRPr="00510B06">
        <w:rPr>
          <w:rFonts w:ascii="仿宋_GB2312" w:hAnsi="微软雅黑" w:hint="eastAsia"/>
          <w:color w:val="000000"/>
          <w:szCs w:val="30"/>
        </w:rPr>
        <w:t>是指需依法</w:t>
      </w:r>
      <w:proofErr w:type="gramEnd"/>
      <w:r w:rsidRPr="00510B06">
        <w:rPr>
          <w:rFonts w:ascii="仿宋_GB2312" w:hAnsi="微软雅黑" w:hint="eastAsia"/>
          <w:color w:val="000000"/>
          <w:szCs w:val="30"/>
        </w:rPr>
        <w:t>申领施工许可证或者批准开工报告后方可开工建设的工程。</w:t>
      </w:r>
    </w:p>
    <w:p w:rsidR="00E5582F" w:rsidRPr="00510B06" w:rsidRDefault="00642898" w:rsidP="00B5119D">
      <w:pPr>
        <w:spacing w:line="560" w:lineRule="exact"/>
        <w:ind w:leftChars="-50" w:left="-158" w:rightChars="-44" w:right="-139" w:firstLineChars="200" w:firstLine="632"/>
        <w:rPr>
          <w:rFonts w:ascii="仿宋_GB2312" w:hint="eastAsia"/>
          <w:w w:val="95"/>
          <w:szCs w:val="32"/>
        </w:rPr>
      </w:pPr>
      <w:r w:rsidRPr="00510B06">
        <w:rPr>
          <w:rFonts w:ascii="黑体" w:eastAsia="黑体" w:hAnsi="黑体" w:hint="eastAsia"/>
          <w:szCs w:val="30"/>
        </w:rPr>
        <w:t>第三十二条</w:t>
      </w:r>
      <w:r w:rsidRPr="00510B06">
        <w:rPr>
          <w:rFonts w:ascii="黑体" w:eastAsia="黑体" w:hAnsi="黑体"/>
          <w:szCs w:val="30"/>
        </w:rPr>
        <w:t xml:space="preserve"> </w:t>
      </w:r>
      <w:r w:rsidRPr="00510B06">
        <w:rPr>
          <w:rFonts w:ascii="仿宋_GB2312"/>
          <w:szCs w:val="30"/>
        </w:rPr>
        <w:t xml:space="preserve"> </w:t>
      </w:r>
      <w:r w:rsidRPr="00510B06">
        <w:rPr>
          <w:rFonts w:ascii="仿宋_GB2312" w:hint="eastAsia"/>
          <w:szCs w:val="30"/>
        </w:rPr>
        <w:t>本条例自</w:t>
      </w:r>
      <w:r w:rsidRPr="00510B06">
        <w:rPr>
          <w:rFonts w:ascii="仿宋_GB2312"/>
          <w:szCs w:val="30"/>
        </w:rPr>
        <w:t>2016</w:t>
      </w:r>
      <w:r w:rsidRPr="00510B06">
        <w:rPr>
          <w:rFonts w:ascii="仿宋_GB2312" w:hint="eastAsia"/>
          <w:szCs w:val="30"/>
        </w:rPr>
        <w:t>年</w:t>
      </w:r>
      <w:r w:rsidRPr="00510B06">
        <w:rPr>
          <w:rFonts w:ascii="仿宋_GB2312"/>
          <w:szCs w:val="30"/>
        </w:rPr>
        <w:t xml:space="preserve">  </w:t>
      </w:r>
      <w:r w:rsidRPr="00510B06">
        <w:rPr>
          <w:rFonts w:ascii="仿宋_GB2312" w:hint="eastAsia"/>
          <w:szCs w:val="30"/>
        </w:rPr>
        <w:t>月</w:t>
      </w:r>
      <w:r w:rsidRPr="00510B06">
        <w:rPr>
          <w:rFonts w:ascii="仿宋_GB2312"/>
          <w:szCs w:val="30"/>
        </w:rPr>
        <w:t xml:space="preserve">  </w:t>
      </w:r>
      <w:r w:rsidRPr="00510B06">
        <w:rPr>
          <w:rFonts w:ascii="仿宋_GB2312" w:hint="eastAsia"/>
          <w:szCs w:val="30"/>
        </w:rPr>
        <w:t>日起施行。</w:t>
      </w:r>
    </w:p>
    <w:sectPr w:rsidR="00E5582F" w:rsidRPr="00510B06">
      <w:footerReference w:type="even" r:id="rId8"/>
      <w:footerReference w:type="default" r:id="rId9"/>
      <w:pgSz w:w="11906" w:h="16838"/>
      <w:pgMar w:top="2098" w:right="1474" w:bottom="1701" w:left="1588" w:header="851" w:footer="992"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C12" w:rsidRDefault="00163C12">
      <w:r>
        <w:separator/>
      </w:r>
    </w:p>
  </w:endnote>
  <w:endnote w:type="continuationSeparator" w:id="0">
    <w:p w:rsidR="00163C12" w:rsidRDefault="0016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F" w:rsidRDefault="00E5582F" w:rsidP="00E26006">
    <w:pPr>
      <w:pStyle w:val="ab"/>
      <w:framePr w:w="1134" w:h="340" w:hRule="exact" w:wrap="around" w:vAnchor="page" w:hAnchor="page" w:x="5371" w:y="15361"/>
      <w:rPr>
        <w:rStyle w:val="a3"/>
        <w:rFonts w:hint="eastAsia"/>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930B8D">
      <w:rPr>
        <w:rStyle w:val="a3"/>
        <w:noProof/>
        <w:sz w:val="28"/>
        <w:szCs w:val="28"/>
      </w:rPr>
      <w:t>2</w:t>
    </w:r>
    <w:r>
      <w:rPr>
        <w:sz w:val="28"/>
        <w:szCs w:val="28"/>
      </w:rPr>
      <w:fldChar w:fldCharType="end"/>
    </w:r>
    <w:r>
      <w:rPr>
        <w:rStyle w:val="a3"/>
        <w:rFonts w:hint="eastAsia"/>
        <w:sz w:val="28"/>
        <w:szCs w:val="28"/>
      </w:rPr>
      <w:t xml:space="preserve"> </w:t>
    </w:r>
    <w:r>
      <w:rPr>
        <w:rStyle w:val="a3"/>
        <w:rFonts w:hint="eastAsia"/>
        <w:sz w:val="28"/>
        <w:szCs w:val="28"/>
      </w:rPr>
      <w:t>—</w:t>
    </w:r>
  </w:p>
  <w:p w:rsidR="00E5582F" w:rsidRDefault="00E5582F">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2F" w:rsidRDefault="00E5582F" w:rsidP="00E26006">
    <w:pPr>
      <w:pStyle w:val="ab"/>
      <w:framePr w:w="1134" w:h="340" w:hRule="exact" w:wrap="around" w:vAnchor="page" w:hAnchor="page" w:x="5251" w:y="15421"/>
      <w:rPr>
        <w:rStyle w:val="a3"/>
        <w:rFonts w:hint="eastAsia"/>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930B8D">
      <w:rPr>
        <w:rStyle w:val="a3"/>
        <w:noProof/>
        <w:sz w:val="28"/>
        <w:szCs w:val="28"/>
      </w:rPr>
      <w:t>1</w:t>
    </w:r>
    <w:r>
      <w:rPr>
        <w:sz w:val="28"/>
        <w:szCs w:val="28"/>
      </w:rPr>
      <w:fldChar w:fldCharType="end"/>
    </w:r>
    <w:r>
      <w:rPr>
        <w:rStyle w:val="a3"/>
        <w:rFonts w:hint="eastAsia"/>
        <w:sz w:val="28"/>
        <w:szCs w:val="28"/>
      </w:rPr>
      <w:t xml:space="preserve"> </w:t>
    </w:r>
    <w:r>
      <w:rPr>
        <w:rStyle w:val="a3"/>
        <w:rFonts w:hint="eastAsia"/>
        <w:sz w:val="28"/>
        <w:szCs w:val="28"/>
      </w:rPr>
      <w:t>—</w:t>
    </w:r>
  </w:p>
  <w:p w:rsidR="00E5582F" w:rsidRDefault="00E5582F">
    <w:pPr>
      <w:pStyle w:val="ab"/>
      <w:ind w:right="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C12" w:rsidRDefault="00163C12">
      <w:r>
        <w:separator/>
      </w:r>
    </w:p>
  </w:footnote>
  <w:footnote w:type="continuationSeparator" w:id="0">
    <w:p w:rsidR="00163C12" w:rsidRDefault="00163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chineseCounting"/>
      <w:suff w:val="nothing"/>
      <w:lvlText w:val="%1、"/>
      <w:lvlJc w:val="left"/>
    </w:lvl>
  </w:abstractNum>
  <w:abstractNum w:abstractNumId="1">
    <w:nsid w:val="0000000B"/>
    <w:multiLevelType w:val="multilevel"/>
    <w:tmpl w:val="0000000B"/>
    <w:lvl w:ilvl="0">
      <w:start w:val="1"/>
      <w:numFmt w:val="japaneseCounting"/>
      <w:lvlText w:val="第%1章"/>
      <w:lvlJc w:val="left"/>
      <w:pPr>
        <w:ind w:left="1750" w:hanging="111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0000000C"/>
    <w:multiLevelType w:val="singleLevel"/>
    <w:tmpl w:val="0000000C"/>
    <w:lvl w:ilvl="0">
      <w:start w:val="4"/>
      <w:numFmt w:val="chineseCounting"/>
      <w:suff w:val="space"/>
      <w:lvlText w:val="第%1章"/>
      <w:lvlJc w:val="left"/>
    </w:lvl>
  </w:abstractNum>
  <w:abstractNum w:abstractNumId="3">
    <w:nsid w:val="0000000D"/>
    <w:multiLevelType w:val="multilevel"/>
    <w:tmpl w:val="0000000D"/>
    <w:lvl w:ilvl="0">
      <w:start w:val="1"/>
      <w:numFmt w:val="japaneseCounting"/>
      <w:lvlText w:val="第%1节"/>
      <w:lvlJc w:val="left"/>
      <w:pPr>
        <w:ind w:left="1813" w:hanging="117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4">
    <w:nsid w:val="0000000E"/>
    <w:multiLevelType w:val="singleLevel"/>
    <w:tmpl w:val="0000000E"/>
    <w:lvl w:ilvl="0">
      <w:start w:val="6"/>
      <w:numFmt w:val="chineseCounting"/>
      <w:suff w:val="space"/>
      <w:lvlText w:val="第%1章"/>
      <w:lvlJc w:val="left"/>
    </w:lvl>
  </w:abstractNum>
  <w:abstractNum w:abstractNumId="5">
    <w:nsid w:val="35D4376F"/>
    <w:multiLevelType w:val="hybridMultilevel"/>
    <w:tmpl w:val="7D34C2D6"/>
    <w:lvl w:ilvl="0" w:tplc="7BEEF700">
      <w:start w:val="1"/>
      <w:numFmt w:val="japaneseCounting"/>
      <w:lvlText w:val="%1、"/>
      <w:lvlJc w:val="left"/>
      <w:pPr>
        <w:ind w:left="1755" w:hanging="117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6">
    <w:nsid w:val="61594C58"/>
    <w:multiLevelType w:val="hybridMultilevel"/>
    <w:tmpl w:val="67FA6B1A"/>
    <w:lvl w:ilvl="0" w:tplc="ACD2A876">
      <w:start w:val="1"/>
      <w:numFmt w:val="japaneseCounting"/>
      <w:lvlText w:val="%1、"/>
      <w:lvlJc w:val="left"/>
      <w:pPr>
        <w:ind w:left="1312" w:hanging="720"/>
      </w:pPr>
      <w:rPr>
        <w:rFonts w:hint="default"/>
      </w:r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abstractNum w:abstractNumId="7">
    <w:nsid w:val="7B8C0DC2"/>
    <w:multiLevelType w:val="hybridMultilevel"/>
    <w:tmpl w:val="7C9C135E"/>
    <w:lvl w:ilvl="0" w:tplc="5A70FA4A">
      <w:start w:val="1"/>
      <w:numFmt w:val="japaneseCounting"/>
      <w:lvlText w:val="第%1章"/>
      <w:lvlJc w:val="left"/>
      <w:pPr>
        <w:ind w:left="1800" w:hanging="12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 w:numId="3">
    <w:abstractNumId w:val="3"/>
  </w:num>
  <w:num w:numId="4">
    <w:abstractNumId w:val="2"/>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F2"/>
    <w:rsid w:val="00057F20"/>
    <w:rsid w:val="00063D62"/>
    <w:rsid w:val="000715D2"/>
    <w:rsid w:val="000C043E"/>
    <w:rsid w:val="00102298"/>
    <w:rsid w:val="0014144B"/>
    <w:rsid w:val="00163C12"/>
    <w:rsid w:val="00184A49"/>
    <w:rsid w:val="001E315B"/>
    <w:rsid w:val="00214042"/>
    <w:rsid w:val="002631C9"/>
    <w:rsid w:val="00367218"/>
    <w:rsid w:val="00371EC9"/>
    <w:rsid w:val="00375507"/>
    <w:rsid w:val="003E4D81"/>
    <w:rsid w:val="00430A57"/>
    <w:rsid w:val="00461DED"/>
    <w:rsid w:val="00510B06"/>
    <w:rsid w:val="005867EE"/>
    <w:rsid w:val="005C4E72"/>
    <w:rsid w:val="006106D6"/>
    <w:rsid w:val="00642898"/>
    <w:rsid w:val="00677911"/>
    <w:rsid w:val="006D1013"/>
    <w:rsid w:val="006E6C61"/>
    <w:rsid w:val="00701B05"/>
    <w:rsid w:val="007715FC"/>
    <w:rsid w:val="00791282"/>
    <w:rsid w:val="007A0EC3"/>
    <w:rsid w:val="007D5F6B"/>
    <w:rsid w:val="007F4BA0"/>
    <w:rsid w:val="007F6CE9"/>
    <w:rsid w:val="0085106A"/>
    <w:rsid w:val="00857401"/>
    <w:rsid w:val="008A4B83"/>
    <w:rsid w:val="00930B8D"/>
    <w:rsid w:val="00961D29"/>
    <w:rsid w:val="00971FCF"/>
    <w:rsid w:val="009950EA"/>
    <w:rsid w:val="009B1904"/>
    <w:rsid w:val="009F4A5F"/>
    <w:rsid w:val="00A30541"/>
    <w:rsid w:val="00A31D8C"/>
    <w:rsid w:val="00AA7BF4"/>
    <w:rsid w:val="00AE37B8"/>
    <w:rsid w:val="00B3383F"/>
    <w:rsid w:val="00B5119D"/>
    <w:rsid w:val="00C13723"/>
    <w:rsid w:val="00CA0BFB"/>
    <w:rsid w:val="00CC76E1"/>
    <w:rsid w:val="00CE1A9A"/>
    <w:rsid w:val="00CE1E9A"/>
    <w:rsid w:val="00D020D4"/>
    <w:rsid w:val="00D03B3F"/>
    <w:rsid w:val="00D70340"/>
    <w:rsid w:val="00D86AD4"/>
    <w:rsid w:val="00DA176D"/>
    <w:rsid w:val="00DE745C"/>
    <w:rsid w:val="00E26006"/>
    <w:rsid w:val="00E5582F"/>
    <w:rsid w:val="00E63DFD"/>
    <w:rsid w:val="00E77817"/>
    <w:rsid w:val="00E82500"/>
    <w:rsid w:val="00EF4C9D"/>
    <w:rsid w:val="00F32472"/>
    <w:rsid w:val="00F6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uiPriority w:val="22"/>
    <w:qFormat/>
    <w:rPr>
      <w:b/>
      <w:bCs/>
    </w:rPr>
  </w:style>
  <w:style w:type="character" w:styleId="a5">
    <w:name w:val="footnote reference"/>
    <w:rPr>
      <w:vertAlign w:val="superscript"/>
    </w:rPr>
  </w:style>
  <w:style w:type="character" w:styleId="a6">
    <w:name w:val="annotation reference"/>
    <w:rPr>
      <w:sz w:val="21"/>
      <w:szCs w:val="21"/>
    </w:rPr>
  </w:style>
  <w:style w:type="character" w:customStyle="1" w:styleId="style481">
    <w:name w:val="style481"/>
    <w:rPr>
      <w:sz w:val="13"/>
      <w:szCs w:val="13"/>
    </w:rPr>
  </w:style>
  <w:style w:type="character" w:customStyle="1" w:styleId="bt">
    <w:name w:val="bt"/>
    <w:basedOn w:val="a0"/>
  </w:style>
  <w:style w:type="paragraph" w:styleId="a7">
    <w:name w:val="Date"/>
    <w:basedOn w:val="a"/>
    <w:next w:val="a"/>
    <w:pPr>
      <w:ind w:leftChars="2500" w:left="100"/>
    </w:pPr>
  </w:style>
  <w:style w:type="paragraph" w:styleId="a8">
    <w:name w:val="footnote text"/>
    <w:basedOn w:val="a"/>
    <w:pPr>
      <w:snapToGrid w:val="0"/>
      <w:jc w:val="left"/>
    </w:pPr>
    <w:rPr>
      <w:sz w:val="18"/>
      <w:szCs w:val="18"/>
    </w:rPr>
  </w:style>
  <w:style w:type="paragraph" w:styleId="a9">
    <w:name w:val="Plain Text"/>
    <w:basedOn w:val="a"/>
    <w:rPr>
      <w:rFonts w:ascii="宋体" w:eastAsia="宋体" w:hAnsi="Courier New" w:cs="Courier New"/>
      <w:sz w:val="21"/>
      <w:szCs w:val="21"/>
    </w:rPr>
  </w:style>
  <w:style w:type="paragraph" w:styleId="aa">
    <w:name w:val="Balloon Text"/>
    <w:basedOn w:val="a"/>
    <w:rPr>
      <w:sz w:val="18"/>
      <w:szCs w:val="18"/>
    </w:rPr>
  </w:style>
  <w:style w:type="paragraph" w:styleId="ab">
    <w:name w:val="footer"/>
    <w:basedOn w:val="a"/>
    <w:pPr>
      <w:tabs>
        <w:tab w:val="center" w:pos="4153"/>
        <w:tab w:val="right" w:pos="8306"/>
      </w:tabs>
      <w:snapToGrid w:val="0"/>
      <w:jc w:val="left"/>
    </w:pPr>
    <w:rPr>
      <w:sz w:val="18"/>
      <w:szCs w:val="18"/>
    </w:rPr>
  </w:style>
  <w:style w:type="paragraph" w:customStyle="1" w:styleId="GB2312-805523">
    <w:name w:val="样式 仿宋_GB2312 小三 灰色-80% 段前: 5 磅 段后: 5 磅 行距: 固定值 23 磅"/>
    <w:basedOn w:val="a"/>
    <w:pPr>
      <w:spacing w:before="100" w:after="100"/>
      <w:ind w:firstLineChars="200" w:firstLine="200"/>
    </w:pPr>
    <w:rPr>
      <w:rFonts w:ascii="仿宋_GB2312" w:hAnsi="仿宋_GB2312" w:cs="宋体"/>
      <w:color w:val="333333"/>
      <w:kern w:val="0"/>
      <w:sz w:val="30"/>
      <w:szCs w:val="20"/>
    </w:rPr>
  </w:style>
  <w:style w:type="paragraph" w:styleId="ac">
    <w:name w:val="annotation subject"/>
    <w:basedOn w:val="ad"/>
    <w:next w:val="ad"/>
    <w:rPr>
      <w:b/>
      <w:bCs/>
    </w:rPr>
  </w:style>
  <w:style w:type="paragraph" w:styleId="ae">
    <w:name w:val="Normal (Web)"/>
    <w:basedOn w:val="a"/>
    <w:pPr>
      <w:widowControl/>
      <w:spacing w:before="100" w:beforeAutospacing="1" w:after="100" w:afterAutospacing="1"/>
      <w:jc w:val="left"/>
    </w:pPr>
    <w:rPr>
      <w:rFonts w:ascii="宋体" w:eastAsia="宋体" w:hAnsi="宋体" w:cs="宋体"/>
      <w:kern w:val="0"/>
      <w:sz w:val="24"/>
    </w:rPr>
  </w:style>
  <w:style w:type="paragraph" w:styleId="af">
    <w:name w:val="Title"/>
    <w:basedOn w:val="a"/>
    <w:next w:val="a"/>
    <w:qFormat/>
    <w:pPr>
      <w:spacing w:before="240" w:after="60"/>
      <w:jc w:val="center"/>
      <w:outlineLvl w:val="0"/>
    </w:pPr>
    <w:rPr>
      <w:rFonts w:ascii="Cambria" w:eastAsia="宋体" w:hAnsi="Cambria"/>
      <w:b/>
      <w:bCs/>
      <w:szCs w:val="32"/>
    </w:rPr>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Char1Char">
    <w:name w:val="Char Char1 Char"/>
    <w:basedOn w:val="1"/>
    <w:pPr>
      <w:snapToGrid w:val="0"/>
      <w:spacing w:before="240" w:after="240" w:line="348" w:lineRule="auto"/>
    </w:pPr>
    <w:rPr>
      <w:rFonts w:ascii="Tahoma" w:eastAsia="宋体" w:hAnsi="Tahoma"/>
      <w:bCs w:val="0"/>
      <w:kern w:val="2"/>
      <w:sz w:val="24"/>
      <w:szCs w:val="20"/>
    </w:rPr>
  </w:style>
  <w:style w:type="paragraph" w:styleId="ad">
    <w:name w:val="annotation text"/>
    <w:basedOn w:val="a"/>
    <w:pPr>
      <w:jc w:val="left"/>
    </w:pPr>
  </w:style>
  <w:style w:type="paragraph" w:styleId="af1">
    <w:name w:val="Body Text Indent"/>
    <w:basedOn w:val="a"/>
    <w:pPr>
      <w:ind w:left="323" w:firstLine="640"/>
    </w:pPr>
    <w:rPr>
      <w:rFonts w:eastAsia="黑体"/>
      <w:szCs w:val="20"/>
    </w:rPr>
  </w:style>
  <w:style w:type="paragraph" w:customStyle="1" w:styleId="Style2">
    <w:name w:val="_Style 2"/>
    <w:basedOn w:val="a"/>
    <w:rsid w:val="007F4BA0"/>
  </w:style>
  <w:style w:type="character" w:styleId="af2">
    <w:name w:val="Emphasis"/>
    <w:qFormat/>
    <w:rsid w:val="007F4BA0"/>
    <w:rPr>
      <w:i/>
      <w:iCs/>
    </w:rPr>
  </w:style>
  <w:style w:type="character" w:customStyle="1" w:styleId="apple-converted-space">
    <w:name w:val="apple-converted-space"/>
    <w:rsid w:val="000C0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uiPriority w:val="22"/>
    <w:qFormat/>
    <w:rPr>
      <w:b/>
      <w:bCs/>
    </w:rPr>
  </w:style>
  <w:style w:type="character" w:styleId="a5">
    <w:name w:val="footnote reference"/>
    <w:rPr>
      <w:vertAlign w:val="superscript"/>
    </w:rPr>
  </w:style>
  <w:style w:type="character" w:styleId="a6">
    <w:name w:val="annotation reference"/>
    <w:rPr>
      <w:sz w:val="21"/>
      <w:szCs w:val="21"/>
    </w:rPr>
  </w:style>
  <w:style w:type="character" w:customStyle="1" w:styleId="style481">
    <w:name w:val="style481"/>
    <w:rPr>
      <w:sz w:val="13"/>
      <w:szCs w:val="13"/>
    </w:rPr>
  </w:style>
  <w:style w:type="character" w:customStyle="1" w:styleId="bt">
    <w:name w:val="bt"/>
    <w:basedOn w:val="a0"/>
  </w:style>
  <w:style w:type="paragraph" w:styleId="a7">
    <w:name w:val="Date"/>
    <w:basedOn w:val="a"/>
    <w:next w:val="a"/>
    <w:pPr>
      <w:ind w:leftChars="2500" w:left="100"/>
    </w:pPr>
  </w:style>
  <w:style w:type="paragraph" w:styleId="a8">
    <w:name w:val="footnote text"/>
    <w:basedOn w:val="a"/>
    <w:pPr>
      <w:snapToGrid w:val="0"/>
      <w:jc w:val="left"/>
    </w:pPr>
    <w:rPr>
      <w:sz w:val="18"/>
      <w:szCs w:val="18"/>
    </w:rPr>
  </w:style>
  <w:style w:type="paragraph" w:styleId="a9">
    <w:name w:val="Plain Text"/>
    <w:basedOn w:val="a"/>
    <w:rPr>
      <w:rFonts w:ascii="宋体" w:eastAsia="宋体" w:hAnsi="Courier New" w:cs="Courier New"/>
      <w:sz w:val="21"/>
      <w:szCs w:val="21"/>
    </w:rPr>
  </w:style>
  <w:style w:type="paragraph" w:styleId="aa">
    <w:name w:val="Balloon Text"/>
    <w:basedOn w:val="a"/>
    <w:rPr>
      <w:sz w:val="18"/>
      <w:szCs w:val="18"/>
    </w:rPr>
  </w:style>
  <w:style w:type="paragraph" w:styleId="ab">
    <w:name w:val="footer"/>
    <w:basedOn w:val="a"/>
    <w:pPr>
      <w:tabs>
        <w:tab w:val="center" w:pos="4153"/>
        <w:tab w:val="right" w:pos="8306"/>
      </w:tabs>
      <w:snapToGrid w:val="0"/>
      <w:jc w:val="left"/>
    </w:pPr>
    <w:rPr>
      <w:sz w:val="18"/>
      <w:szCs w:val="18"/>
    </w:rPr>
  </w:style>
  <w:style w:type="paragraph" w:customStyle="1" w:styleId="GB2312-805523">
    <w:name w:val="样式 仿宋_GB2312 小三 灰色-80% 段前: 5 磅 段后: 5 磅 行距: 固定值 23 磅"/>
    <w:basedOn w:val="a"/>
    <w:pPr>
      <w:spacing w:before="100" w:after="100"/>
      <w:ind w:firstLineChars="200" w:firstLine="200"/>
    </w:pPr>
    <w:rPr>
      <w:rFonts w:ascii="仿宋_GB2312" w:hAnsi="仿宋_GB2312" w:cs="宋体"/>
      <w:color w:val="333333"/>
      <w:kern w:val="0"/>
      <w:sz w:val="30"/>
      <w:szCs w:val="20"/>
    </w:rPr>
  </w:style>
  <w:style w:type="paragraph" w:styleId="ac">
    <w:name w:val="annotation subject"/>
    <w:basedOn w:val="ad"/>
    <w:next w:val="ad"/>
    <w:rPr>
      <w:b/>
      <w:bCs/>
    </w:rPr>
  </w:style>
  <w:style w:type="paragraph" w:styleId="ae">
    <w:name w:val="Normal (Web)"/>
    <w:basedOn w:val="a"/>
    <w:pPr>
      <w:widowControl/>
      <w:spacing w:before="100" w:beforeAutospacing="1" w:after="100" w:afterAutospacing="1"/>
      <w:jc w:val="left"/>
    </w:pPr>
    <w:rPr>
      <w:rFonts w:ascii="宋体" w:eastAsia="宋体" w:hAnsi="宋体" w:cs="宋体"/>
      <w:kern w:val="0"/>
      <w:sz w:val="24"/>
    </w:rPr>
  </w:style>
  <w:style w:type="paragraph" w:styleId="af">
    <w:name w:val="Title"/>
    <w:basedOn w:val="a"/>
    <w:next w:val="a"/>
    <w:qFormat/>
    <w:pPr>
      <w:spacing w:before="240" w:after="60"/>
      <w:jc w:val="center"/>
      <w:outlineLvl w:val="0"/>
    </w:pPr>
    <w:rPr>
      <w:rFonts w:ascii="Cambria" w:eastAsia="宋体" w:hAnsi="Cambria"/>
      <w:b/>
      <w:bCs/>
      <w:szCs w:val="32"/>
    </w:rPr>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Char1Char">
    <w:name w:val="Char Char1 Char"/>
    <w:basedOn w:val="1"/>
    <w:pPr>
      <w:snapToGrid w:val="0"/>
      <w:spacing w:before="240" w:after="240" w:line="348" w:lineRule="auto"/>
    </w:pPr>
    <w:rPr>
      <w:rFonts w:ascii="Tahoma" w:eastAsia="宋体" w:hAnsi="Tahoma"/>
      <w:bCs w:val="0"/>
      <w:kern w:val="2"/>
      <w:sz w:val="24"/>
      <w:szCs w:val="20"/>
    </w:rPr>
  </w:style>
  <w:style w:type="paragraph" w:styleId="ad">
    <w:name w:val="annotation text"/>
    <w:basedOn w:val="a"/>
    <w:pPr>
      <w:jc w:val="left"/>
    </w:pPr>
  </w:style>
  <w:style w:type="paragraph" w:styleId="af1">
    <w:name w:val="Body Text Indent"/>
    <w:basedOn w:val="a"/>
    <w:pPr>
      <w:ind w:left="323" w:firstLine="640"/>
    </w:pPr>
    <w:rPr>
      <w:rFonts w:eastAsia="黑体"/>
      <w:szCs w:val="20"/>
    </w:rPr>
  </w:style>
  <w:style w:type="paragraph" w:customStyle="1" w:styleId="Style2">
    <w:name w:val="_Style 2"/>
    <w:basedOn w:val="a"/>
    <w:rsid w:val="007F4BA0"/>
  </w:style>
  <w:style w:type="character" w:styleId="af2">
    <w:name w:val="Emphasis"/>
    <w:qFormat/>
    <w:rsid w:val="007F4BA0"/>
    <w:rPr>
      <w:i/>
      <w:iCs/>
    </w:rPr>
  </w:style>
  <w:style w:type="character" w:customStyle="1" w:styleId="apple-converted-space">
    <w:name w:val="apple-converted-space"/>
    <w:rsid w:val="000C0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595</Words>
  <Characters>3398</Characters>
  <Application>Microsoft Office Word</Application>
  <DocSecurity>0</DocSecurity>
  <PresentationFormat/>
  <Lines>28</Lines>
  <Paragraphs>7</Paragraphs>
  <Slides>0</Slides>
  <Notes>0</Notes>
  <HiddenSlides>0</HiddenSlides>
  <MMClips>0</MMClips>
  <ScaleCrop>false</ScaleCrop>
  <Company>微软中国</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admin</cp:lastModifiedBy>
  <cp:revision>2</cp:revision>
  <cp:lastPrinted>2016-07-15T11:37:00Z</cp:lastPrinted>
  <dcterms:created xsi:type="dcterms:W3CDTF">2016-10-10T08:02:00Z</dcterms:created>
  <dcterms:modified xsi:type="dcterms:W3CDTF">2016-10-10T08:02:00Z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2052-6.6.0.2330</vt:lpwstr>
  </property>
</Properties>
</file>