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DF" w:rsidRDefault="00CC58DF" w:rsidP="00CC58DF">
      <w:pPr>
        <w:pStyle w:val="NewNewNewNewNewNewNewNewNewNewNewNewNewNewNewNewNewNewNewNewNew"/>
        <w:adjustRightInd w:val="0"/>
        <w:snapToGrid w:val="0"/>
        <w:spacing w:line="560" w:lineRule="exact"/>
        <w:jc w:val="center"/>
        <w:rPr>
          <w:rFonts w:eastAsia="方正小标宋简体"/>
          <w:b/>
          <w:color w:val="000000"/>
          <w:spacing w:val="-20"/>
          <w:kern w:val="0"/>
          <w:sz w:val="44"/>
          <w:szCs w:val="44"/>
        </w:rPr>
      </w:pPr>
      <w:bookmarkStart w:id="0" w:name="_GoBack"/>
      <w:bookmarkEnd w:id="0"/>
      <w:r>
        <w:rPr>
          <w:rFonts w:eastAsia="方正小标宋简体" w:hint="eastAsia"/>
          <w:b/>
          <w:color w:val="000000"/>
          <w:spacing w:val="-20"/>
          <w:kern w:val="0"/>
          <w:sz w:val="44"/>
          <w:szCs w:val="44"/>
        </w:rPr>
        <w:t>关于《四川省优化营商环境条例（草案）》的说明</w:t>
      </w:r>
    </w:p>
    <w:p w:rsidR="00CC58DF" w:rsidRDefault="00CC58DF" w:rsidP="00CC58DF">
      <w:pPr>
        <w:pStyle w:val="NewNewNewNewNewNewNewNewNewNewNewNewNewNewNewNewNewNewNewNewNew"/>
        <w:adjustRightInd w:val="0"/>
        <w:snapToGrid w:val="0"/>
        <w:spacing w:line="400" w:lineRule="exact"/>
        <w:jc w:val="center"/>
        <w:rPr>
          <w:rFonts w:eastAsia="方正小标宋简体"/>
          <w:b/>
          <w:color w:val="000000"/>
          <w:spacing w:val="-20"/>
          <w:kern w:val="0"/>
          <w:sz w:val="44"/>
          <w:szCs w:val="44"/>
        </w:rPr>
      </w:pPr>
    </w:p>
    <w:p w:rsidR="00CC58DF" w:rsidRDefault="00CC58DF" w:rsidP="00CC58DF">
      <w:pPr>
        <w:pStyle w:val="Default"/>
        <w:autoSpaceDE/>
        <w:snapToGrid w:val="0"/>
        <w:spacing w:line="400" w:lineRule="exact"/>
        <w:jc w:val="center"/>
        <w:rPr>
          <w:rFonts w:eastAsia="方正仿宋简体" w:cs="Times New Roman"/>
          <w:b/>
          <w:sz w:val="21"/>
          <w:szCs w:val="21"/>
        </w:rPr>
      </w:pPr>
      <w:r>
        <w:rPr>
          <w:rFonts w:eastAsia="方正仿宋简体" w:cs="Times New Roman"/>
          <w:b/>
          <w:sz w:val="21"/>
          <w:szCs w:val="21"/>
        </w:rPr>
        <w:t>——2020</w:t>
      </w:r>
      <w:r>
        <w:rPr>
          <w:rFonts w:eastAsia="方正仿宋简体" w:cs="Times New Roman" w:hint="eastAsia"/>
          <w:b/>
          <w:sz w:val="21"/>
          <w:szCs w:val="21"/>
        </w:rPr>
        <w:t>年</w:t>
      </w:r>
      <w:r>
        <w:rPr>
          <w:rFonts w:eastAsia="方正仿宋简体" w:cs="Times New Roman"/>
          <w:b/>
          <w:sz w:val="21"/>
          <w:szCs w:val="21"/>
        </w:rPr>
        <w:t>7</w:t>
      </w:r>
      <w:r>
        <w:rPr>
          <w:rFonts w:eastAsia="方正仿宋简体" w:cs="Times New Roman" w:hint="eastAsia"/>
          <w:b/>
          <w:sz w:val="21"/>
          <w:szCs w:val="21"/>
        </w:rPr>
        <w:t>月</w:t>
      </w:r>
      <w:r>
        <w:rPr>
          <w:rFonts w:eastAsia="方正仿宋简体" w:cs="Times New Roman"/>
          <w:b/>
          <w:sz w:val="21"/>
          <w:szCs w:val="21"/>
        </w:rPr>
        <w:t>29</w:t>
      </w:r>
      <w:r>
        <w:rPr>
          <w:rFonts w:eastAsia="方正仿宋简体" w:cs="Times New Roman" w:hint="eastAsia"/>
          <w:b/>
          <w:sz w:val="21"/>
          <w:szCs w:val="21"/>
        </w:rPr>
        <w:t>日在四川省第</w:t>
      </w:r>
      <w:r>
        <w:rPr>
          <w:rFonts w:eastAsia="方正仿宋简体" w:cs="Times New Roman"/>
          <w:b/>
          <w:sz w:val="21"/>
          <w:szCs w:val="21"/>
        </w:rPr>
        <w:t xml:space="preserve"> </w:t>
      </w:r>
      <w:r>
        <w:rPr>
          <w:rFonts w:eastAsia="方正仿宋简体" w:cs="Times New Roman" w:hint="eastAsia"/>
          <w:b/>
          <w:sz w:val="21"/>
          <w:szCs w:val="21"/>
        </w:rPr>
        <w:t>届人民代表大会常务委员会第二十次会议上</w:t>
      </w:r>
    </w:p>
    <w:p w:rsidR="00CC58DF" w:rsidRDefault="00CC58DF" w:rsidP="00CC58DF">
      <w:pPr>
        <w:pStyle w:val="Default"/>
        <w:autoSpaceDE/>
        <w:snapToGrid w:val="0"/>
        <w:spacing w:line="400" w:lineRule="exact"/>
        <w:jc w:val="center"/>
        <w:rPr>
          <w:rFonts w:eastAsia="方正仿宋简体" w:cs="Times New Roman"/>
          <w:b/>
          <w:sz w:val="21"/>
          <w:szCs w:val="21"/>
        </w:rPr>
      </w:pPr>
    </w:p>
    <w:p w:rsidR="00CC58DF" w:rsidRDefault="00CC58DF" w:rsidP="00CC58DF">
      <w:pPr>
        <w:adjustRightInd w:val="0"/>
        <w:snapToGrid w:val="0"/>
        <w:spacing w:line="400" w:lineRule="exact"/>
        <w:jc w:val="center"/>
        <w:rPr>
          <w:rFonts w:ascii="Times New Roman" w:eastAsia="方正楷体简体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方正楷体简体" w:hAnsi="Times New Roman" w:cs="Times New Roman" w:hint="eastAsia"/>
          <w:b/>
          <w:color w:val="000000"/>
          <w:kern w:val="0"/>
          <w:sz w:val="28"/>
          <w:szCs w:val="28"/>
        </w:rPr>
        <w:t>四川省发展和改革委员会主任</w:t>
      </w:r>
      <w:r>
        <w:rPr>
          <w:rFonts w:ascii="Times New Roman" w:eastAsia="方正楷体简体" w:hAnsi="Times New Roman" w:cs="Times New Roman"/>
          <w:b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楷体简体" w:hAnsi="Times New Roman" w:cs="Times New Roman" w:hint="eastAsia"/>
          <w:b/>
          <w:color w:val="000000"/>
          <w:kern w:val="0"/>
          <w:sz w:val="28"/>
          <w:szCs w:val="28"/>
        </w:rPr>
        <w:t>李</w:t>
      </w:r>
      <w:r>
        <w:rPr>
          <w:rFonts w:ascii="Times New Roman" w:eastAsia="方正楷体简体" w:hAnsi="Times New Roman" w:cs="Times New Roman"/>
          <w:b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方正楷体简体" w:hAnsi="Times New Roman" w:cs="Times New Roman" w:hint="eastAsia"/>
          <w:b/>
          <w:color w:val="000000"/>
          <w:kern w:val="0"/>
          <w:sz w:val="28"/>
          <w:szCs w:val="28"/>
        </w:rPr>
        <w:t>刚</w:t>
      </w:r>
    </w:p>
    <w:p w:rsidR="00CC58DF" w:rsidRDefault="00CC58DF" w:rsidP="00CC58DF">
      <w:pPr>
        <w:adjustRightInd w:val="0"/>
        <w:snapToGrid w:val="0"/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</w:pPr>
    </w:p>
    <w:p w:rsidR="00CC58DF" w:rsidRDefault="00CC58DF" w:rsidP="00CC58DF">
      <w:pPr>
        <w:adjustRightInd w:val="0"/>
        <w:snapToGrid w:val="0"/>
        <w:spacing w:line="560" w:lineRule="exact"/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  <w:lang w:val="zh-CN"/>
        </w:rPr>
      </w:pP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四川省人大常委会</w:t>
      </w: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  <w:lang w:val="zh-CN"/>
        </w:rPr>
        <w:t>：</w:t>
      </w:r>
    </w:p>
    <w:p w:rsidR="00CC58DF" w:rsidRDefault="00CC58DF" w:rsidP="00CC58DF">
      <w:pPr>
        <w:adjustRightInd w:val="0"/>
        <w:snapToGrid w:val="0"/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按照有关法律法规规定和省人大常委会安排，受省人民政府委托，现就《四川省优化营商环境条例（草案）》（以下简称《草案》）的有关情况作如下说明，请审议。</w:t>
      </w:r>
    </w:p>
    <w:p w:rsidR="00CC58DF" w:rsidRDefault="00CC58DF" w:rsidP="00CC58DF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color w:val="000000"/>
          <w:kern w:val="0"/>
          <w:sz w:val="32"/>
          <w:szCs w:val="32"/>
        </w:rPr>
        <w:t>一、起草背景</w:t>
      </w:r>
    </w:p>
    <w:p w:rsidR="00CC58DF" w:rsidRDefault="00CC58DF" w:rsidP="00CC58DF">
      <w:pPr>
        <w:pStyle w:val="New"/>
        <w:adjustRightInd w:val="0"/>
        <w:snapToGrid w:val="0"/>
        <w:spacing w:line="560" w:lineRule="exact"/>
        <w:ind w:firstLineChars="200" w:firstLine="643"/>
        <w:rPr>
          <w:rFonts w:eastAsia="方正仿宋简体"/>
          <w:b/>
          <w:color w:val="000000"/>
          <w:kern w:val="0"/>
          <w:szCs w:val="32"/>
        </w:rPr>
      </w:pPr>
      <w:r>
        <w:rPr>
          <w:rFonts w:eastAsia="方正仿宋简体" w:hint="eastAsia"/>
          <w:b/>
          <w:color w:val="000000"/>
          <w:kern w:val="0"/>
          <w:szCs w:val="32"/>
        </w:rPr>
        <w:t>省委、省政府高度重视优化营商环境立法工作，省委十一届三次全会明确提出了制定《四川省优化营商环境条例》的要求。省人大常委会将其列为《四川省第十三届人大常委会立法规划》一类项目，明确由省政府于</w:t>
      </w:r>
      <w:r>
        <w:rPr>
          <w:rFonts w:eastAsia="方正仿宋简体"/>
          <w:b/>
          <w:color w:val="000000"/>
          <w:kern w:val="0"/>
          <w:szCs w:val="32"/>
        </w:rPr>
        <w:t>2020</w:t>
      </w:r>
      <w:r>
        <w:rPr>
          <w:rFonts w:eastAsia="方正仿宋简体" w:hint="eastAsia"/>
          <w:b/>
          <w:color w:val="000000"/>
          <w:kern w:val="0"/>
          <w:szCs w:val="32"/>
        </w:rPr>
        <w:t>年提请省人大常委会审议。《草案》把党中央、国务院和省委、省政府关于优化营商环境、深化</w:t>
      </w:r>
      <w:r>
        <w:rPr>
          <w:rFonts w:eastAsia="方正仿宋简体"/>
          <w:b/>
          <w:color w:val="000000"/>
          <w:kern w:val="0"/>
          <w:szCs w:val="32"/>
        </w:rPr>
        <w:t>“</w:t>
      </w:r>
      <w:r>
        <w:rPr>
          <w:rFonts w:eastAsia="方正仿宋简体" w:hint="eastAsia"/>
          <w:b/>
          <w:color w:val="000000"/>
          <w:kern w:val="0"/>
          <w:szCs w:val="32"/>
        </w:rPr>
        <w:t>放管服</w:t>
      </w:r>
      <w:r>
        <w:rPr>
          <w:rFonts w:eastAsia="方正仿宋简体"/>
          <w:b/>
          <w:color w:val="000000"/>
          <w:kern w:val="0"/>
          <w:szCs w:val="32"/>
        </w:rPr>
        <w:t>”</w:t>
      </w:r>
      <w:r>
        <w:rPr>
          <w:rFonts w:eastAsia="方正仿宋简体" w:hint="eastAsia"/>
          <w:b/>
          <w:color w:val="000000"/>
          <w:kern w:val="0"/>
          <w:szCs w:val="32"/>
        </w:rPr>
        <w:t>改革、促进民营经济健康发展的精神和我省好的经验做法固定下来，对于引领、规范和促进我省营商环境的持续改善，更好地处理政府与市场的关系、全面推动我省高质量发展，具有重要的现实意义。</w:t>
      </w:r>
    </w:p>
    <w:p w:rsidR="00CC58DF" w:rsidRDefault="00CC58DF" w:rsidP="00CC58DF">
      <w:pPr>
        <w:pStyle w:val="New"/>
        <w:adjustRightInd w:val="0"/>
        <w:snapToGrid w:val="0"/>
        <w:spacing w:line="560" w:lineRule="exact"/>
        <w:ind w:firstLineChars="200" w:firstLine="643"/>
        <w:rPr>
          <w:rFonts w:eastAsia="方正仿宋简体"/>
          <w:b/>
          <w:color w:val="000000"/>
          <w:kern w:val="0"/>
          <w:szCs w:val="32"/>
        </w:rPr>
      </w:pPr>
      <w:r>
        <w:rPr>
          <w:rFonts w:eastAsia="方正仿宋简体" w:hint="eastAsia"/>
          <w:b/>
          <w:color w:val="000000"/>
          <w:kern w:val="0"/>
          <w:szCs w:val="32"/>
        </w:rPr>
        <w:t>立法的主要依据是《中华人民共和国行政许可法》《中华人民共和国外商投资法》以及国务院出台的《优化营商环境条例》等法律法规，同时参考借鉴了北京、上海、广西等省（市）的立法经验。</w:t>
      </w:r>
    </w:p>
    <w:p w:rsidR="00CC58DF" w:rsidRDefault="00CC58DF" w:rsidP="00CC58DF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color w:val="000000"/>
          <w:kern w:val="0"/>
          <w:sz w:val="32"/>
          <w:szCs w:val="32"/>
        </w:rPr>
        <w:t>二、起草过程</w:t>
      </w:r>
    </w:p>
    <w:p w:rsidR="00CC58DF" w:rsidRDefault="00CC58DF" w:rsidP="00CC58DF">
      <w:pPr>
        <w:adjustRightInd w:val="0"/>
        <w:snapToGrid w:val="0"/>
        <w:spacing w:line="560" w:lineRule="exact"/>
        <w:ind w:firstLineChars="200" w:firstLine="643"/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lastRenderedPageBreak/>
        <w:t>《草案》列入省人大常委会立法计划后，省政府高度重视，组织有关部门进行研究，并明确省发展改革委为《草案》牵头起草单位。省发展改革委会同省市场监督管理局、司法厅等有关单位多次进行专题研究；深入分析我省营商环境现状和不足，认真研究《中华人民共和国行政许可法》、《中华人民共和国外商投资法》、《优化营商环境条例》、《政府投资条例》等上位依据，并参考借鉴北京、上海、广西等地先进立法经验。结合实地调研和召开座谈会等多种方式，先后赴眉山、雅安以及广西南宁等地开展立法调研。同时，充分征求了省级部门、有关行业单位、相关市（州）的意见，经过反复讨论、专家评审、多次修改后形成《草案》。目前，《草案》已经省政府常务会议讨论通过，并提请省人大常委会审议。</w:t>
      </w:r>
    </w:p>
    <w:p w:rsidR="00CC58DF" w:rsidRDefault="00CC58DF" w:rsidP="00CC58DF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color w:val="000000"/>
          <w:kern w:val="0"/>
          <w:sz w:val="32"/>
          <w:szCs w:val="32"/>
        </w:rPr>
        <w:t>三、主要内容</w:t>
      </w:r>
    </w:p>
    <w:p w:rsidR="00CC58DF" w:rsidRDefault="00CC58DF" w:rsidP="00CC58DF">
      <w:pPr>
        <w:adjustRightInd w:val="0"/>
        <w:snapToGrid w:val="0"/>
        <w:spacing w:line="560" w:lineRule="exact"/>
        <w:ind w:firstLineChars="198" w:firstLine="636"/>
        <w:textAlignment w:val="baseline"/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《草案》共七十三条，包括总则、市场环境、政务环境、法治环境、法律责任、附则六章。</w:t>
      </w:r>
    </w:p>
    <w:p w:rsidR="00CC58DF" w:rsidRDefault="00CC58DF" w:rsidP="00CC58DF">
      <w:pPr>
        <w:adjustRightInd w:val="0"/>
        <w:snapToGrid w:val="0"/>
        <w:spacing w:line="560" w:lineRule="exact"/>
        <w:ind w:firstLineChars="198" w:firstLine="636"/>
        <w:textAlignment w:val="baseline"/>
        <w:rPr>
          <w:rFonts w:ascii="Times New Roman" w:eastAsia="方正楷体简体" w:hAnsi="Times New Roman" w:cs="Times New Roman"/>
          <w:b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/>
          <w:sz w:val="32"/>
          <w:szCs w:val="32"/>
        </w:rPr>
        <w:t>（一）立足公平诚信优化市场环境</w:t>
      </w:r>
    </w:p>
    <w:p w:rsidR="00CC58DF" w:rsidRDefault="00CC58DF" w:rsidP="00CC58DF">
      <w:pPr>
        <w:adjustRightInd w:val="0"/>
        <w:snapToGrid w:val="0"/>
        <w:spacing w:line="560" w:lineRule="exact"/>
        <w:ind w:firstLineChars="198" w:firstLine="636"/>
        <w:textAlignment w:val="baseline"/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立足优化公平竞争、诚实守信的市场环境，主要规定以下内容：一是对标世界银行评价指标，提出企业全生命周期服务，明确负面清单、公平待遇、税收优惠、扶持中小企业、保护中小投资、保障公平竞争等方面的具体规范和要求。二是针对市场主体反映强烈的土地供应等问题，规定县级以上地方人民政府应按照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  <w:t>“</w:t>
      </w: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净地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要求向市场主体供应国有建设用地。三是根据社会信用体系建设规划纲要的要求，加强商</w:t>
      </w: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lastRenderedPageBreak/>
        <w:t>务诚信建设，建立失信联合惩戒对象名单和措施清单制度，充分发挥信用的激励和惩戒作用。（第十二条到第三十四条）</w:t>
      </w:r>
    </w:p>
    <w:p w:rsidR="00CC58DF" w:rsidRDefault="00CC58DF" w:rsidP="00CC58DF">
      <w:pPr>
        <w:adjustRightInd w:val="0"/>
        <w:snapToGrid w:val="0"/>
        <w:spacing w:line="560" w:lineRule="exact"/>
        <w:ind w:firstLineChars="198" w:firstLine="636"/>
        <w:textAlignment w:val="baseline"/>
        <w:rPr>
          <w:rFonts w:ascii="Times New Roman" w:eastAsia="方正楷体简体" w:hAnsi="Times New Roman" w:cs="Times New Roman"/>
          <w:b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/>
          <w:sz w:val="32"/>
          <w:szCs w:val="32"/>
        </w:rPr>
        <w:t>（二）着眼高效便捷提升政务环境</w:t>
      </w:r>
    </w:p>
    <w:p w:rsidR="00CC58DF" w:rsidRDefault="00CC58DF" w:rsidP="00CC58DF">
      <w:pPr>
        <w:adjustRightInd w:val="0"/>
        <w:snapToGrid w:val="0"/>
        <w:spacing w:line="560" w:lineRule="exact"/>
        <w:ind w:firstLineChars="198" w:firstLine="636"/>
        <w:textAlignment w:val="baseline"/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着眼提升公开透明、高效便捷的政务环境，主要规定以下内容：一是结合我省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  <w:t>“</w:t>
      </w: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放管服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改革要求，将投资审批改革、工程建设审批改革、证明事项告知承诺制、政务服务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  <w:t>“</w:t>
      </w: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好差评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制度等内容纳入。二是完善政务服务平台建设，对政务服务大厅、网上政务服务、政务数据共享、电子证照、电子印章等</w:t>
      </w:r>
      <w:proofErr w:type="gramStart"/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作出</w:t>
      </w:r>
      <w:proofErr w:type="gramEnd"/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规定。三是提高政务服务水平，规定惠</w:t>
      </w:r>
      <w:proofErr w:type="gramStart"/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企政策</w:t>
      </w:r>
      <w:proofErr w:type="gramEnd"/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发布制度、营商环境评价制度、重大项目推进机制等内容，在政务服务、中介服务、涉企收费等领域推行清单管理制度。（第三十五条到第五十六条）</w:t>
      </w:r>
    </w:p>
    <w:p w:rsidR="00CC58DF" w:rsidRDefault="00CC58DF" w:rsidP="00CC58DF">
      <w:pPr>
        <w:adjustRightInd w:val="0"/>
        <w:snapToGrid w:val="0"/>
        <w:spacing w:line="560" w:lineRule="exact"/>
        <w:ind w:firstLineChars="198" w:firstLine="636"/>
        <w:textAlignment w:val="baseline"/>
        <w:rPr>
          <w:rFonts w:ascii="Times New Roman" w:eastAsia="方正楷体简体" w:hAnsi="Times New Roman" w:cs="Times New Roman"/>
          <w:b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/>
          <w:sz w:val="32"/>
          <w:szCs w:val="32"/>
        </w:rPr>
        <w:t>（三）围绕公正文明打造法治环境</w:t>
      </w:r>
    </w:p>
    <w:p w:rsidR="00CC58DF" w:rsidRDefault="00CC58DF" w:rsidP="00CC58DF">
      <w:pPr>
        <w:adjustRightInd w:val="0"/>
        <w:snapToGrid w:val="0"/>
        <w:spacing w:line="560" w:lineRule="exact"/>
        <w:ind w:firstLineChars="198" w:firstLine="636"/>
        <w:textAlignment w:val="baseline"/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围绕打造公正文明、严格规范的法治环境，主要规定以下内容：一是提升政策制定的透明度和科学性，建立涉</w:t>
      </w:r>
      <w:proofErr w:type="gramStart"/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企政策</w:t>
      </w:r>
      <w:proofErr w:type="gramEnd"/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制定的意见听取和反馈机制、公平竞争审查机制和政策实施预留适应期制度等。二是规范行政执法行为、增强纠纷化解能力，明确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  <w:t>“</w:t>
      </w: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双随机</w:t>
      </w:r>
      <w:proofErr w:type="gramStart"/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一</w:t>
      </w:r>
      <w:proofErr w:type="gramEnd"/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公开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、行政执法清单化、多元化纠纷解决制度。三是严厉惩治侵犯知识产权的违法犯罪行为，推动建立健全知识产权侵权惩罚性赔偿制度，加强对新业态、新产业创新成果的知识产权保护。四是探索推进市场化、法治化的破产制度，推动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  <w:t>“</w:t>
      </w: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执转破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机制实质化运行，建立重整识别、预重整等破产拯救机制，提高重整制度适用率和成功率。（第五十七条到第六十九条）</w:t>
      </w:r>
    </w:p>
    <w:p w:rsidR="00CC58DF" w:rsidRDefault="00CC58DF" w:rsidP="00CC58DF">
      <w:pPr>
        <w:adjustRightInd w:val="0"/>
        <w:snapToGrid w:val="0"/>
        <w:spacing w:line="560" w:lineRule="exact"/>
        <w:ind w:firstLineChars="200" w:firstLine="643"/>
        <w:textAlignment w:val="baseline"/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color w:val="000000"/>
          <w:kern w:val="0"/>
          <w:sz w:val="32"/>
          <w:szCs w:val="32"/>
        </w:rPr>
        <w:lastRenderedPageBreak/>
        <w:t>四、需要特别说明的事项</w:t>
      </w:r>
    </w:p>
    <w:p w:rsidR="00CC58DF" w:rsidRDefault="00CC58DF" w:rsidP="00CC58DF">
      <w:pPr>
        <w:adjustRightInd w:val="0"/>
        <w:snapToGrid w:val="0"/>
        <w:spacing w:line="560" w:lineRule="exact"/>
        <w:ind w:firstLineChars="198" w:firstLine="636"/>
        <w:textAlignment w:val="baseline"/>
        <w:rPr>
          <w:rFonts w:ascii="Times New Roman" w:eastAsia="方正楷体简体" w:hAnsi="Times New Roman" w:cs="Times New Roman"/>
          <w:b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/>
          <w:sz w:val="32"/>
          <w:szCs w:val="32"/>
        </w:rPr>
        <w:t>（一）关于《草案》的条文数量</w:t>
      </w:r>
    </w:p>
    <w:p w:rsidR="00CC58DF" w:rsidRDefault="00CC58DF" w:rsidP="00CC58DF">
      <w:pPr>
        <w:pStyle w:val="New"/>
        <w:adjustRightInd w:val="0"/>
        <w:snapToGrid w:val="0"/>
        <w:spacing w:line="560" w:lineRule="exact"/>
        <w:ind w:firstLineChars="200" w:firstLine="643"/>
        <w:rPr>
          <w:rFonts w:eastAsia="方正仿宋简体"/>
          <w:b/>
          <w:color w:val="000000"/>
          <w:kern w:val="0"/>
          <w:szCs w:val="32"/>
        </w:rPr>
      </w:pPr>
      <w:r>
        <w:rPr>
          <w:rFonts w:eastAsia="方正仿宋简体" w:hint="eastAsia"/>
          <w:b/>
          <w:color w:val="000000"/>
          <w:kern w:val="0"/>
          <w:szCs w:val="32"/>
        </w:rPr>
        <w:t>《草案》共</w:t>
      </w:r>
      <w:r>
        <w:rPr>
          <w:rFonts w:eastAsia="方正仿宋简体"/>
          <w:b/>
          <w:color w:val="000000"/>
          <w:kern w:val="0"/>
          <w:szCs w:val="32"/>
        </w:rPr>
        <w:t>73</w:t>
      </w:r>
      <w:r>
        <w:rPr>
          <w:rFonts w:eastAsia="方正仿宋简体" w:hint="eastAsia"/>
          <w:b/>
          <w:color w:val="000000"/>
          <w:kern w:val="0"/>
          <w:szCs w:val="32"/>
        </w:rPr>
        <w:t>条，相比上海（</w:t>
      </w:r>
      <w:r>
        <w:rPr>
          <w:rFonts w:eastAsia="方正仿宋简体"/>
          <w:b/>
          <w:color w:val="000000"/>
          <w:kern w:val="0"/>
          <w:szCs w:val="32"/>
        </w:rPr>
        <w:t>80</w:t>
      </w:r>
      <w:r>
        <w:rPr>
          <w:rFonts w:eastAsia="方正仿宋简体" w:hint="eastAsia"/>
          <w:b/>
          <w:color w:val="000000"/>
          <w:kern w:val="0"/>
          <w:szCs w:val="32"/>
        </w:rPr>
        <w:t>条）、北京（</w:t>
      </w:r>
      <w:r>
        <w:rPr>
          <w:rFonts w:eastAsia="方正仿宋简体"/>
          <w:b/>
          <w:color w:val="000000"/>
          <w:kern w:val="0"/>
          <w:szCs w:val="32"/>
        </w:rPr>
        <w:t>83</w:t>
      </w:r>
      <w:r>
        <w:rPr>
          <w:rFonts w:eastAsia="方正仿宋简体" w:hint="eastAsia"/>
          <w:b/>
          <w:color w:val="000000"/>
          <w:kern w:val="0"/>
          <w:szCs w:val="32"/>
        </w:rPr>
        <w:t>条）、广西（</w:t>
      </w:r>
      <w:r>
        <w:rPr>
          <w:rFonts w:eastAsia="方正仿宋简体"/>
          <w:b/>
          <w:color w:val="000000"/>
          <w:kern w:val="0"/>
          <w:szCs w:val="32"/>
        </w:rPr>
        <w:t>76</w:t>
      </w:r>
      <w:r>
        <w:rPr>
          <w:rFonts w:eastAsia="方正仿宋简体" w:hint="eastAsia"/>
          <w:b/>
          <w:color w:val="000000"/>
          <w:kern w:val="0"/>
          <w:szCs w:val="32"/>
        </w:rPr>
        <w:t>条）等省市条文数量显得略少，主要是因为我省已出台的《四川省企业和企业经营者权益保护条例》对各类企业及其经营者的权益保护作了详尽规定，为了避免重复，《草案》仅在第十二条作了衔接性规定。从整体上看，我省两个条例对于优化营商环境的规范实际上更为全面和完善。</w:t>
      </w:r>
    </w:p>
    <w:p w:rsidR="00CC58DF" w:rsidRDefault="00CC58DF" w:rsidP="00CC58DF">
      <w:pPr>
        <w:adjustRightInd w:val="0"/>
        <w:snapToGrid w:val="0"/>
        <w:spacing w:line="560" w:lineRule="exact"/>
        <w:ind w:firstLineChars="198" w:firstLine="636"/>
        <w:textAlignment w:val="baseline"/>
        <w:rPr>
          <w:rFonts w:ascii="Times New Roman" w:eastAsia="方正楷体简体" w:hAnsi="Times New Roman" w:cs="Times New Roman"/>
          <w:b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/>
          <w:sz w:val="32"/>
          <w:szCs w:val="32"/>
        </w:rPr>
        <w:t>（二）关于《草案》的特色亮点</w:t>
      </w:r>
    </w:p>
    <w:p w:rsidR="00CC58DF" w:rsidRDefault="00CC58DF" w:rsidP="00CC58DF">
      <w:pPr>
        <w:adjustRightInd w:val="0"/>
        <w:snapToGrid w:val="0"/>
        <w:spacing w:line="560" w:lineRule="exact"/>
        <w:ind w:firstLineChars="200" w:firstLine="643"/>
        <w:rPr>
          <w:rFonts w:ascii="方正仿宋简体" w:eastAsia="方正仿宋简体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《草案》在贯彻落实国家条例的立法精神和相关要求的同时，注重突出地方特色，立足我省经济社会发展的水平和特点，回应我省优化营商环境工作中存在的问题和市场主体的需求与愿望。一是，总结我省在优化营商环境工作中的经验做法，将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  <w:t>“12345”</w:t>
      </w: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查处回应机制、政务服务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  <w:t>“</w:t>
      </w: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好差评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制度、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  <w:t>“</w:t>
      </w: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天府通办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掌上服务平台等具有针对性和导向性的制度，上升为立法中的条文，突出地方特色。二是，吸收最新改革成果，推行清单管理制度、建立容错免责机制、</w:t>
      </w:r>
      <w:proofErr w:type="gramStart"/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推进商</w:t>
      </w:r>
      <w:proofErr w:type="gramEnd"/>
      <w:r>
        <w:rPr>
          <w:rFonts w:ascii="Times New Roman" w:eastAsia="方正仿宋简体" w:hAnsi="Times New Roman" w:cs="Times New Roman" w:hint="eastAsia"/>
          <w:b/>
          <w:color w:val="000000"/>
          <w:kern w:val="0"/>
          <w:sz w:val="32"/>
          <w:szCs w:val="32"/>
        </w:rPr>
        <w:t>事制度改革、对新经济实行包容审慎监管，体现新发展理念。</w:t>
      </w:r>
    </w:p>
    <w:p w:rsidR="00DE12BC" w:rsidRDefault="00DE12BC"/>
    <w:sectPr w:rsidR="00DE1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4B"/>
    <w:rsid w:val="0050744B"/>
    <w:rsid w:val="00CC58DF"/>
    <w:rsid w:val="00D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CC58D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NewNewNewNewNewNewNewNewNewNewNewNewNewNewNewNewNewNewNewNewNew">
    <w:name w:val="正文 New New New New New New New New New New New New New New New New New New New New New"/>
    <w:rsid w:val="00CC58D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Default">
    <w:name w:val="Default"/>
    <w:qFormat/>
    <w:rsid w:val="00CC58DF"/>
    <w:pPr>
      <w:widowControl w:val="0"/>
      <w:autoSpaceDE w:val="0"/>
      <w:autoSpaceDN w:val="0"/>
      <w:adjustRightInd w:val="0"/>
    </w:pPr>
    <w:rPr>
      <w:rFonts w:ascii="Times New Roman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CC58D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NewNewNewNewNewNewNewNewNewNewNewNewNewNewNewNewNewNewNewNewNew">
    <w:name w:val="正文 New New New New New New New New New New New New New New New New New New New New New"/>
    <w:rsid w:val="00CC58D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Default">
    <w:name w:val="Default"/>
    <w:qFormat/>
    <w:rsid w:val="00CC58DF"/>
    <w:pPr>
      <w:widowControl w:val="0"/>
      <w:autoSpaceDE w:val="0"/>
      <w:autoSpaceDN w:val="0"/>
      <w:adjustRightInd w:val="0"/>
    </w:pPr>
    <w:rPr>
      <w:rFonts w:ascii="Times New Roman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1779</Characters>
  <Application>Microsoft Office Word</Application>
  <DocSecurity>0</DocSecurity>
  <Lines>14</Lines>
  <Paragraphs>4</Paragraphs>
  <ScaleCrop>false</ScaleCrop>
  <Company>P R C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2020-08-03T09:01:00Z</dcterms:created>
  <dcterms:modified xsi:type="dcterms:W3CDTF">2020-08-03T09:01:00Z</dcterms:modified>
</cp:coreProperties>
</file>