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AB" w:rsidRPr="00011C18" w:rsidRDefault="00011C18" w:rsidP="00011C18">
      <w:pPr>
        <w:pStyle w:val="NewNew"/>
        <w:tabs>
          <w:tab w:val="left" w:pos="7140"/>
        </w:tabs>
        <w:spacing w:line="580" w:lineRule="exact"/>
        <w:jc w:val="left"/>
        <w:rPr>
          <w:rFonts w:eastAsia="方正小标宋简体"/>
          <w:b/>
          <w:color w:val="000000" w:themeColor="text1"/>
          <w:sz w:val="32"/>
          <w:szCs w:val="32"/>
        </w:rPr>
      </w:pPr>
      <w:r w:rsidRPr="00011C18">
        <w:rPr>
          <w:rFonts w:eastAsia="方正小标宋简体" w:hint="eastAsia"/>
          <w:b/>
          <w:color w:val="000000" w:themeColor="text1"/>
          <w:sz w:val="32"/>
          <w:szCs w:val="32"/>
        </w:rPr>
        <w:t>附件</w:t>
      </w:r>
    </w:p>
    <w:p w:rsidR="00F628AB" w:rsidRDefault="00F628AB" w:rsidP="00F628AB">
      <w:pPr>
        <w:pStyle w:val="NewNew"/>
        <w:tabs>
          <w:tab w:val="left" w:pos="7140"/>
        </w:tabs>
        <w:spacing w:line="580" w:lineRule="exact"/>
        <w:jc w:val="center"/>
        <w:rPr>
          <w:rFonts w:eastAsia="方正小标宋简体"/>
          <w:b/>
          <w:color w:val="000000" w:themeColor="text1"/>
          <w:sz w:val="44"/>
        </w:rPr>
      </w:pPr>
    </w:p>
    <w:p w:rsidR="005F6291" w:rsidRPr="00405400" w:rsidRDefault="00785EE7" w:rsidP="00F628AB">
      <w:pPr>
        <w:pStyle w:val="NewNew"/>
        <w:tabs>
          <w:tab w:val="left" w:pos="7140"/>
        </w:tabs>
        <w:spacing w:line="580" w:lineRule="exact"/>
        <w:jc w:val="center"/>
        <w:rPr>
          <w:rFonts w:eastAsia="方正小标宋简体"/>
          <w:b/>
          <w:color w:val="000000" w:themeColor="text1"/>
          <w:sz w:val="44"/>
        </w:rPr>
      </w:pPr>
      <w:r w:rsidRPr="00405400">
        <w:rPr>
          <w:rFonts w:eastAsia="方正小标宋简体"/>
          <w:b/>
          <w:color w:val="000000" w:themeColor="text1"/>
          <w:sz w:val="44"/>
        </w:rPr>
        <w:t>四川省</w:t>
      </w:r>
      <w:r w:rsidR="000160C5">
        <w:rPr>
          <w:rFonts w:eastAsia="方正小标宋简体" w:hint="eastAsia"/>
          <w:b/>
          <w:color w:val="000000" w:themeColor="text1"/>
          <w:sz w:val="44"/>
        </w:rPr>
        <w:t>通用航空</w:t>
      </w:r>
      <w:r w:rsidRPr="00405400">
        <w:rPr>
          <w:rFonts w:eastAsia="方正小标宋简体"/>
          <w:b/>
          <w:color w:val="000000" w:themeColor="text1"/>
          <w:sz w:val="44"/>
        </w:rPr>
        <w:t>条例（草案）</w:t>
      </w:r>
    </w:p>
    <w:p w:rsidR="002F6F9F" w:rsidRDefault="0066182F" w:rsidP="00897164">
      <w:pPr>
        <w:pStyle w:val="NewNew"/>
        <w:tabs>
          <w:tab w:val="left" w:pos="7140"/>
        </w:tabs>
        <w:spacing w:line="580" w:lineRule="exact"/>
        <w:jc w:val="center"/>
        <w:rPr>
          <w:rFonts w:eastAsia="方正楷体简体"/>
          <w:b/>
          <w:color w:val="000000" w:themeColor="text1"/>
          <w:sz w:val="28"/>
          <w:szCs w:val="28"/>
        </w:rPr>
      </w:pPr>
      <w:r w:rsidRPr="00405400">
        <w:rPr>
          <w:rFonts w:eastAsia="方正楷体简体"/>
          <w:b/>
          <w:color w:val="000000" w:themeColor="text1"/>
          <w:sz w:val="28"/>
          <w:szCs w:val="28"/>
        </w:rPr>
        <w:t>（</w:t>
      </w:r>
      <w:r w:rsidR="00C815AD" w:rsidRPr="00405400">
        <w:rPr>
          <w:rFonts w:eastAsia="方正楷体简体"/>
          <w:b/>
          <w:color w:val="000000" w:themeColor="text1"/>
          <w:sz w:val="28"/>
          <w:szCs w:val="28"/>
        </w:rPr>
        <w:t>二次审议</w:t>
      </w:r>
      <w:r w:rsidR="002F6F9F" w:rsidRPr="00405400">
        <w:rPr>
          <w:rFonts w:eastAsia="方正楷体简体"/>
          <w:b/>
          <w:color w:val="000000" w:themeColor="text1"/>
          <w:sz w:val="28"/>
          <w:szCs w:val="28"/>
        </w:rPr>
        <w:t>稿</w:t>
      </w:r>
      <w:r w:rsidRPr="00405400">
        <w:rPr>
          <w:rFonts w:eastAsia="方正楷体简体"/>
          <w:b/>
          <w:color w:val="000000" w:themeColor="text1"/>
          <w:sz w:val="28"/>
          <w:szCs w:val="28"/>
        </w:rPr>
        <w:t>）</w:t>
      </w:r>
    </w:p>
    <w:p w:rsidR="00BD4FFC" w:rsidRPr="00405400" w:rsidRDefault="00BD4FFC" w:rsidP="00F628AB">
      <w:pPr>
        <w:pStyle w:val="NewNew"/>
        <w:tabs>
          <w:tab w:val="left" w:pos="7140"/>
        </w:tabs>
        <w:spacing w:line="580" w:lineRule="exact"/>
        <w:jc w:val="center"/>
        <w:rPr>
          <w:rFonts w:eastAsia="方正楷体简体"/>
          <w:b/>
          <w:color w:val="000000" w:themeColor="text1"/>
          <w:sz w:val="28"/>
          <w:szCs w:val="28"/>
        </w:rPr>
      </w:pPr>
    </w:p>
    <w:p w:rsidR="000160C5" w:rsidRPr="00BD4FFC" w:rsidRDefault="000160C5" w:rsidP="00F628AB">
      <w:pPr>
        <w:pStyle w:val="NewNew"/>
        <w:tabs>
          <w:tab w:val="left" w:pos="7140"/>
        </w:tabs>
        <w:adjustRightInd w:val="0"/>
        <w:snapToGrid w:val="0"/>
        <w:spacing w:line="580" w:lineRule="exact"/>
        <w:jc w:val="center"/>
        <w:rPr>
          <w:rFonts w:ascii="方正黑体简体" w:eastAsia="方正黑体简体"/>
          <w:b/>
          <w:bCs/>
          <w:color w:val="000000" w:themeColor="text1"/>
          <w:sz w:val="32"/>
          <w:szCs w:val="32"/>
        </w:rPr>
      </w:pPr>
      <w:r w:rsidRPr="00BD4FFC">
        <w:rPr>
          <w:rFonts w:ascii="方正黑体简体" w:eastAsia="方正黑体简体" w:hint="eastAsia"/>
          <w:b/>
          <w:bCs/>
          <w:color w:val="000000" w:themeColor="text1"/>
          <w:sz w:val="32"/>
          <w:szCs w:val="32"/>
        </w:rPr>
        <w:t>第一章  总  则</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第一条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为了实施交通强国战略，推动通用航空业高质量发展，发挥通用航空业对经济和社会发展的服务功能，满足人民对航空服务的需求，根据《中华人民共和国民用航空法》《中华人民共和国飞行基本规则》《民用机场管理条例》《通用航空飞行管制条例》等法律、行政法规，结合四川省实际，制定本条例。</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第二条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四川省行政区域内通用航空业发展和通用航空相关管理与服务，适用本条例。</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通用航空的运行标准、安全监管和市场监管等属于行业管理的事项按照法律、行政法规和国家有关规定执行。</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第三条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通用航空业发展应当坚持市场主导、政府引导，安全第一、创新驱动，重点突破、全面推进的原则，努力建成布局合理、便利快捷、制造先进、安全规范、应用广泛、军民兼顾的通用航空体系。</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第四条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省人民政府应当加强对全省通用航空业发展工作的统一领导，建立健全通用航空发展工作领导协调机制，采取</w:t>
      </w:r>
      <w:r w:rsidRPr="000160C5">
        <w:rPr>
          <w:rFonts w:eastAsia="方正仿宋简体" w:hint="eastAsia"/>
          <w:b/>
          <w:bCs/>
          <w:color w:val="000000" w:themeColor="text1"/>
          <w:sz w:val="32"/>
          <w:szCs w:val="32"/>
        </w:rPr>
        <w:lastRenderedPageBreak/>
        <w:t>扶持措施，促进通用航空业持续健康发展。</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市（州）、县（市、区）人民政府应当结合实际建立协调联动机制，加强对本行政区域内通用航空业发展的组织、协调。</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乡（镇）人民政府、街道办事处应当协助上级人民政府、配合有关部门和单位做好通用航空服务的相关工作。</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第五条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发展改革、经济和信息化、交通运输、应急管理、文化旅游、体育、低空空域协同管理等部门和机构按照各自职责依法负责通用航空业发展的相关管理与服务工作。</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p>
    <w:p w:rsidR="000160C5" w:rsidRPr="00BD4FFC" w:rsidRDefault="000160C5" w:rsidP="00F628AB">
      <w:pPr>
        <w:pStyle w:val="NewNew"/>
        <w:tabs>
          <w:tab w:val="left" w:pos="7140"/>
        </w:tabs>
        <w:adjustRightInd w:val="0"/>
        <w:snapToGrid w:val="0"/>
        <w:spacing w:line="580" w:lineRule="exact"/>
        <w:jc w:val="center"/>
        <w:rPr>
          <w:rFonts w:ascii="方正黑体简体" w:eastAsia="方正黑体简体"/>
          <w:b/>
          <w:bCs/>
          <w:color w:val="000000" w:themeColor="text1"/>
          <w:sz w:val="32"/>
          <w:szCs w:val="32"/>
        </w:rPr>
      </w:pPr>
      <w:r w:rsidRPr="00BD4FFC">
        <w:rPr>
          <w:rFonts w:ascii="方正黑体简体" w:eastAsia="方正黑体简体" w:hint="eastAsia"/>
          <w:b/>
          <w:bCs/>
          <w:color w:val="000000" w:themeColor="text1"/>
          <w:sz w:val="32"/>
          <w:szCs w:val="32"/>
        </w:rPr>
        <w:t>第二章</w:t>
      </w:r>
      <w:r w:rsidR="00BD4FFC" w:rsidRPr="00BD4FFC">
        <w:rPr>
          <w:rFonts w:ascii="方正黑体简体" w:eastAsia="方正黑体简体" w:hint="eastAsia"/>
          <w:b/>
          <w:bCs/>
          <w:color w:val="000000" w:themeColor="text1"/>
          <w:sz w:val="32"/>
          <w:szCs w:val="32"/>
        </w:rPr>
        <w:t xml:space="preserve">  </w:t>
      </w:r>
      <w:r w:rsidRPr="00BD4FFC">
        <w:rPr>
          <w:rFonts w:ascii="方正黑体简体" w:eastAsia="方正黑体简体" w:hint="eastAsia"/>
          <w:b/>
          <w:bCs/>
          <w:color w:val="000000" w:themeColor="text1"/>
          <w:sz w:val="32"/>
          <w:szCs w:val="32"/>
        </w:rPr>
        <w:t>通用航空产业</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第六条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应当将通用航空产业发展纳入国民经济和社会发展规划，组织发展改革、交通运输等有关部门编制全省通用航空产业发展规划。全省通用航空产业发展规划应当与国土空间规划相衔接、生态环境保护规划相协调。</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市（州）人民政府应当根据全省通用航空产业发展规划，结合实际编制本地区相应的通用航空发展实施方案。</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第七条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发展改革、经济和信息化、科技等部门和相关市（州）、县（市、区）人民政府应当鼓励建立通用航空业创新平台，提高关键技术和部件的自主研发生产能力，加快提升国产化水平，发展具有自主知识产权、质优价廉的通用航空产品；整合优势资源，提升科研院所、企事业单位的关键技术开发应用和关键部件的自主研发生产能力，支持通用航空</w:t>
      </w:r>
      <w:r w:rsidRPr="000160C5">
        <w:rPr>
          <w:rFonts w:eastAsia="方正仿宋简体" w:hint="eastAsia"/>
          <w:b/>
          <w:bCs/>
          <w:color w:val="000000" w:themeColor="text1"/>
          <w:sz w:val="32"/>
          <w:szCs w:val="32"/>
        </w:rPr>
        <w:lastRenderedPageBreak/>
        <w:t>飞机和民用无人驾驶航空器的整机、零部件以及通用航空相关装备的研发制造。</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第八条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省人民政府发展改革、经济和信息化、体育等部门应当优先在空域、土地等条件具备的地方，建设产业示范区，促进通用航空业集聚发展。</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相关市（州）、县（市、区）人民政府应当统筹资金、土地、人力等各种要素资源，创新财政资金支持方式，积极吸引社会资本，发展与各地经济联系紧密的通用航空优势产业；培育和扶持具有先进水平和核心竞争力的通用航空制造龙头企业、通用航空服务骨干企业，发挥通用航空产业对区域经济发展的带动作用。</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加强区域协作，共建共用通用机场，合理布局统筹加快通用航空油料储运、运营、维修等服务保障设施建设，推动成渝地区双城经济圈通用航空产业一体化发展。</w:t>
      </w:r>
    </w:p>
    <w:p w:rsid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第九条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发展改革、经济和信息化等部门和相关市（州）、县（市、区）人民政府应当对接和吸纳国际通用航空业优质资源，加强通用航空制造、运营管理、飞行培训等领域的合作，引进、消化和吸收先进技术，提升我省通用航空产品设计和制造水平。</w:t>
      </w:r>
    </w:p>
    <w:p w:rsidR="00F037C3" w:rsidRPr="000160C5" w:rsidRDefault="00F037C3"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p>
    <w:p w:rsidR="000160C5" w:rsidRPr="00BD4FFC" w:rsidRDefault="000160C5" w:rsidP="00F628AB">
      <w:pPr>
        <w:pStyle w:val="NewNew"/>
        <w:tabs>
          <w:tab w:val="left" w:pos="7140"/>
        </w:tabs>
        <w:adjustRightInd w:val="0"/>
        <w:snapToGrid w:val="0"/>
        <w:spacing w:line="580" w:lineRule="exact"/>
        <w:jc w:val="center"/>
        <w:rPr>
          <w:rFonts w:ascii="方正黑体简体" w:eastAsia="方正黑体简体"/>
          <w:b/>
          <w:bCs/>
          <w:color w:val="000000" w:themeColor="text1"/>
          <w:sz w:val="32"/>
          <w:szCs w:val="32"/>
        </w:rPr>
      </w:pPr>
      <w:r w:rsidRPr="00BD4FFC">
        <w:rPr>
          <w:rFonts w:ascii="方正黑体简体" w:eastAsia="方正黑体简体" w:hint="eastAsia"/>
          <w:b/>
          <w:bCs/>
          <w:color w:val="000000" w:themeColor="text1"/>
          <w:sz w:val="32"/>
          <w:szCs w:val="32"/>
        </w:rPr>
        <w:t>第三章</w:t>
      </w:r>
      <w:r w:rsidR="00BD4FFC">
        <w:rPr>
          <w:rFonts w:ascii="方正黑体简体" w:eastAsia="方正黑体简体" w:hint="eastAsia"/>
          <w:b/>
          <w:bCs/>
          <w:color w:val="000000" w:themeColor="text1"/>
          <w:sz w:val="32"/>
          <w:szCs w:val="32"/>
        </w:rPr>
        <w:t xml:space="preserve">  </w:t>
      </w:r>
      <w:r w:rsidRPr="00BD4FFC">
        <w:rPr>
          <w:rFonts w:ascii="方正黑体简体" w:eastAsia="方正黑体简体" w:hint="eastAsia"/>
          <w:b/>
          <w:bCs/>
          <w:color w:val="000000" w:themeColor="text1"/>
          <w:sz w:val="32"/>
          <w:szCs w:val="32"/>
        </w:rPr>
        <w:t>通用航空市场</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第十条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省人民政府发展改革、交通运输等部门应当统筹</w:t>
      </w:r>
      <w:r w:rsidRPr="000160C5">
        <w:rPr>
          <w:rFonts w:eastAsia="方正仿宋简体" w:hint="eastAsia"/>
          <w:b/>
          <w:bCs/>
          <w:color w:val="000000" w:themeColor="text1"/>
          <w:sz w:val="32"/>
          <w:szCs w:val="32"/>
        </w:rPr>
        <w:lastRenderedPageBreak/>
        <w:t>全省通用航空与公共运输航空的协调发展。通用机场所在市（州）、县（市、区）人民政府应当支持通用航空在综合交通服务中的应用，鼓励发展短途运输、公务飞行、私人飞行等通用航空服务，满足个性化、高效率的出行需求。</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第十一条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发展改革、经济和信息化、文化和旅游等部门和相关市（州）、县（市、区）人民政府应当推动通用航空与旅游、互联网、创意经济相融合，发展通用航空消费，鼓励有条件的旅游景区开展低空旅游服务，支持开通低空旅游示范线路和低空旅游观光圈建设。</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第十二条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发展改革、体育等部门和相关市（州）、县（市、区）人民政府应当采取措施，支持建设航空运动体验基地和航空飞行营地，举办大型航空体育和无人飞行器等赛事活动，开展面向大众的飞行培训、航空运动、航空会展、航空文化交流等活动。</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第十三条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及其相关部门应当建立和完善航空应急救援体系，加快实现通用航空服务范围覆盖主要高速铁路和高速公路沿线、主要江河（湖泊）流域、主要自然灾害易发区的应急救援，主要林区的消防和主要医疗机构的救护，提升快速反应能力。</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支持相关地方人民政府通过建设通用航空应急救援基地的方式，开展航空应急救援、警务巡逻、交通疏导等工作。</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按照全省应急救援工作要求，可以根据实际需要设立用于</w:t>
      </w:r>
      <w:r w:rsidRPr="000160C5">
        <w:rPr>
          <w:rFonts w:eastAsia="方正仿宋简体" w:hint="eastAsia"/>
          <w:b/>
          <w:bCs/>
          <w:color w:val="000000" w:themeColor="text1"/>
          <w:sz w:val="32"/>
          <w:szCs w:val="32"/>
        </w:rPr>
        <w:lastRenderedPageBreak/>
        <w:t>应急救援的临时起降场所。</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第十四条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卫生健康、应急管理等部门应当促进通用航空与医疗应急救护工作融合发展，建立医疗机构与通用航空单位信息共享与协同联动机制，构建航空医疗救护相关标准及规范体系。探索通过商业保险等模式，使社会公众获得航空医疗救护服务。</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省人民政府经济和信息化、财政、自然资源、生态环境、交通运输、农业农村、林草等部门应当支持通用航空单位开展工业、农业、林业、自然资源勘查、生态环境、通信中继等生产类通用航空服务，促进通用航空在生产作业领域的应用。</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第十五条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有条件的地方人民政府应当将应急救援、防灾减灾、医疗救护、飞行服务保障等公益类通用航空服务纳入政府购买服务范围。</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第十六条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执行航空应急救援行动的通用航空单位，应当具备与应急救援行动相适应的航空器和航空人员，并符合法律、行政法规的相关规定。</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第十七条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县级以上地方人民政府应急管理部门应当建立本行政区域内通用航空单位参与应急救援机制，掌握通用航空单位在公共服务和生产应用方面情况，并根据需要，依法调用通用航空单位参与应急救援。</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对参与应急救援行动的通用航空单位，由调用单位按照有关规定给予经济补偿。</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p>
    <w:p w:rsidR="000160C5" w:rsidRPr="00BD4FFC" w:rsidRDefault="000160C5" w:rsidP="00F628AB">
      <w:pPr>
        <w:pStyle w:val="NewNew"/>
        <w:tabs>
          <w:tab w:val="left" w:pos="7140"/>
        </w:tabs>
        <w:adjustRightInd w:val="0"/>
        <w:snapToGrid w:val="0"/>
        <w:spacing w:line="580" w:lineRule="exact"/>
        <w:jc w:val="center"/>
        <w:rPr>
          <w:rFonts w:ascii="方正黑体简体" w:eastAsia="方正黑体简体"/>
          <w:b/>
          <w:bCs/>
          <w:color w:val="000000" w:themeColor="text1"/>
          <w:sz w:val="32"/>
          <w:szCs w:val="32"/>
        </w:rPr>
      </w:pPr>
      <w:r w:rsidRPr="00BD4FFC">
        <w:rPr>
          <w:rFonts w:ascii="方正黑体简体" w:eastAsia="方正黑体简体" w:hint="eastAsia"/>
          <w:b/>
          <w:bCs/>
          <w:color w:val="000000" w:themeColor="text1"/>
          <w:sz w:val="32"/>
          <w:szCs w:val="32"/>
        </w:rPr>
        <w:t>第四章</w:t>
      </w:r>
      <w:r w:rsidR="00BD4FFC">
        <w:rPr>
          <w:rFonts w:ascii="方正黑体简体" w:eastAsia="方正黑体简体" w:hint="eastAsia"/>
          <w:b/>
          <w:bCs/>
          <w:color w:val="000000" w:themeColor="text1"/>
          <w:sz w:val="32"/>
          <w:szCs w:val="32"/>
        </w:rPr>
        <w:t xml:space="preserve">  </w:t>
      </w:r>
      <w:r w:rsidRPr="00BD4FFC">
        <w:rPr>
          <w:rFonts w:ascii="方正黑体简体" w:eastAsia="方正黑体简体" w:hint="eastAsia"/>
          <w:b/>
          <w:bCs/>
          <w:color w:val="000000" w:themeColor="text1"/>
          <w:sz w:val="32"/>
          <w:szCs w:val="32"/>
        </w:rPr>
        <w:t>通用机场</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第十八条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发展改革部门应当组织编制全省通用机场布局规划，报省级人民政府批准。通用机场布局规划应当综合考虑人口、土地、空域资源、交通运输、产业基础等条件，立足市场需求和发展实际，因地制宜推进通用机场建设。</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县级以上地方人民政府应当在符合条件的高速公路服务区、医院、学校、体育场、城市核心商务区、一百米以上高层建筑、交通枢纽站点等，根据实际需要统筹布局满足抢险救灾、应急救援等需求的直升机起降场地。</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第十九条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新建通用机场由省人民政府按照批准的规划审批（核准）。省人民政府及其有关部门应当加强与国务院民用航空主管部门、地区民用航空管理机构、有关军事机关的沟通协调，进一步简化和规范通用机场项目可行性研究报告（项目申请报告）等审批（核准、备案）程序。</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第二十条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通用机场建设应当合理确定通用机场功能、建设规模和标准，在确保运行安全的前提下，节约投资和降低运行成本。</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通用机场的建设应当遵循绿色发展要求，节约集约用地，保护生态环境。</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积极推进通用机场智慧建设，提高通用机场服务水平。</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地方各级人民政府应</w:t>
      </w:r>
      <w:r w:rsidR="00001592">
        <w:rPr>
          <w:rFonts w:eastAsia="方正仿宋简体" w:hint="eastAsia"/>
          <w:b/>
          <w:bCs/>
          <w:color w:val="000000" w:themeColor="text1"/>
          <w:sz w:val="32"/>
          <w:szCs w:val="32"/>
        </w:rPr>
        <w:t>当</w:t>
      </w:r>
      <w:r w:rsidRPr="000160C5">
        <w:rPr>
          <w:rFonts w:eastAsia="方正仿宋简体" w:hint="eastAsia"/>
          <w:b/>
          <w:bCs/>
          <w:color w:val="000000" w:themeColor="text1"/>
          <w:sz w:val="32"/>
          <w:szCs w:val="32"/>
        </w:rPr>
        <w:t>积极推广政府和社会资本合作模式，</w:t>
      </w:r>
      <w:r w:rsidRPr="000160C5">
        <w:rPr>
          <w:rFonts w:eastAsia="方正仿宋简体" w:hint="eastAsia"/>
          <w:b/>
          <w:bCs/>
          <w:color w:val="000000" w:themeColor="text1"/>
          <w:sz w:val="32"/>
          <w:szCs w:val="32"/>
        </w:rPr>
        <w:lastRenderedPageBreak/>
        <w:t>吸引社会资本参与通用机场建设等准公益性交通基础设施建设。</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第二十一条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民用运输机场应当拓展通用航空服务功能，建设通用航空功能区。</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第二十二条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通用机场所在地人民政府应当加大通用机场场外道路、供水、供电、供气、通信、防汛等公共基础设施和专用应急救援设施设备投入，支持通用机场建设。</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第二十三条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通用机场应当按照国家有关规定实施运营管理，提供安全、规范、有序、便捷服务。</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第二十四条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通用机场应当按照国家有关规定制定机场突发事件应急预案，纳入当地人民政府突发事件应急预案体系，并定期组织应急救援演练和人员培训。</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第二十五条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通用机场净空保护区域由所在地民用航空管理机构和有关市（州）人民政府按照《民用机场管理条例》和国家有关规定划定并公布。</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通用机场净空保护区域涉及的市（州）和县（市、区）人民政府按照规定做好净空保护工作。</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通用机场净空保护区域内的建设项目、各类活动应当符合净空保护要求。</w:t>
      </w:r>
    </w:p>
    <w:p w:rsidR="00F037C3" w:rsidRDefault="00F037C3" w:rsidP="00F628AB">
      <w:pPr>
        <w:pStyle w:val="NewNew"/>
        <w:tabs>
          <w:tab w:val="left" w:pos="7140"/>
        </w:tabs>
        <w:adjustRightInd w:val="0"/>
        <w:snapToGrid w:val="0"/>
        <w:spacing w:line="580" w:lineRule="exact"/>
        <w:jc w:val="center"/>
        <w:rPr>
          <w:rFonts w:eastAsia="方正仿宋简体"/>
          <w:b/>
          <w:bCs/>
          <w:color w:val="000000" w:themeColor="text1"/>
          <w:sz w:val="32"/>
          <w:szCs w:val="32"/>
        </w:rPr>
      </w:pPr>
    </w:p>
    <w:p w:rsidR="00E54606" w:rsidRPr="00E54606" w:rsidRDefault="00E54606" w:rsidP="00F628AB">
      <w:pPr>
        <w:pStyle w:val="NewNew"/>
        <w:tabs>
          <w:tab w:val="left" w:pos="7140"/>
        </w:tabs>
        <w:adjustRightInd w:val="0"/>
        <w:snapToGrid w:val="0"/>
        <w:spacing w:line="580" w:lineRule="exact"/>
        <w:jc w:val="center"/>
        <w:rPr>
          <w:rFonts w:eastAsia="方正仿宋简体"/>
          <w:b/>
          <w:bCs/>
          <w:color w:val="000000" w:themeColor="text1"/>
          <w:sz w:val="32"/>
          <w:szCs w:val="32"/>
        </w:rPr>
      </w:pPr>
    </w:p>
    <w:p w:rsidR="000160C5" w:rsidRPr="00BD4FFC" w:rsidRDefault="000160C5" w:rsidP="00F628AB">
      <w:pPr>
        <w:pStyle w:val="NewNew"/>
        <w:tabs>
          <w:tab w:val="left" w:pos="7140"/>
        </w:tabs>
        <w:adjustRightInd w:val="0"/>
        <w:snapToGrid w:val="0"/>
        <w:spacing w:line="580" w:lineRule="exact"/>
        <w:jc w:val="center"/>
        <w:rPr>
          <w:rFonts w:ascii="方正黑体简体" w:eastAsia="方正黑体简体"/>
          <w:b/>
          <w:bCs/>
          <w:color w:val="000000" w:themeColor="text1"/>
          <w:sz w:val="32"/>
          <w:szCs w:val="32"/>
        </w:rPr>
      </w:pPr>
      <w:r w:rsidRPr="00BD4FFC">
        <w:rPr>
          <w:rFonts w:ascii="方正黑体简体" w:eastAsia="方正黑体简体" w:hint="eastAsia"/>
          <w:b/>
          <w:bCs/>
          <w:color w:val="000000" w:themeColor="text1"/>
          <w:sz w:val="32"/>
          <w:szCs w:val="32"/>
        </w:rPr>
        <w:t>第五章</w:t>
      </w:r>
      <w:r w:rsidR="00BD4FFC" w:rsidRPr="00BD4FFC">
        <w:rPr>
          <w:rFonts w:ascii="方正黑体简体" w:eastAsia="方正黑体简体" w:hint="eastAsia"/>
          <w:b/>
          <w:bCs/>
          <w:color w:val="000000" w:themeColor="text1"/>
          <w:sz w:val="32"/>
          <w:szCs w:val="32"/>
        </w:rPr>
        <w:t xml:space="preserve">  </w:t>
      </w:r>
      <w:r w:rsidRPr="00BD4FFC">
        <w:rPr>
          <w:rFonts w:ascii="方正黑体简体" w:eastAsia="方正黑体简体" w:hint="eastAsia"/>
          <w:b/>
          <w:bCs/>
          <w:color w:val="000000" w:themeColor="text1"/>
          <w:sz w:val="32"/>
          <w:szCs w:val="32"/>
        </w:rPr>
        <w:t>低空空域</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第二十六条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w:t>
      </w:r>
      <w:r w:rsidR="00F037C3">
        <w:rPr>
          <w:rFonts w:eastAsia="方正仿宋简体" w:hint="eastAsia"/>
          <w:b/>
          <w:bCs/>
          <w:color w:val="000000" w:themeColor="text1"/>
          <w:sz w:val="32"/>
          <w:szCs w:val="32"/>
        </w:rPr>
        <w:t>应当</w:t>
      </w:r>
      <w:r w:rsidRPr="000160C5">
        <w:rPr>
          <w:rFonts w:eastAsia="方正仿宋简体" w:hint="eastAsia"/>
          <w:b/>
          <w:bCs/>
          <w:color w:val="000000" w:themeColor="text1"/>
          <w:sz w:val="32"/>
          <w:szCs w:val="32"/>
        </w:rPr>
        <w:t>加强与有关军事机关、民用</w:t>
      </w:r>
      <w:r w:rsidRPr="000160C5">
        <w:rPr>
          <w:rFonts w:eastAsia="方正仿宋简体" w:hint="eastAsia"/>
          <w:b/>
          <w:bCs/>
          <w:color w:val="000000" w:themeColor="text1"/>
          <w:sz w:val="32"/>
          <w:szCs w:val="32"/>
        </w:rPr>
        <w:lastRenderedPageBreak/>
        <w:t>航空管理机构的沟通，建立信息共享和协同联动机制，及时解决通用航空飞行活动中的重大问题。</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第二十七条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省低空空域协同管理机构按照国家有权机关授权，负责全省低空空域资源统筹配置、运行管理和服务保障等工作。</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第二十八条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省低空空域协同管理机构应当统筹全省通用航空低空空域需求，规划和调整低空协同管理空域；制定低空协同管理空域管理与使用规则，并向社会发布。</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低空协同管理空域的划设与调整批准权限，按照国家空域管理有关规定执行。</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第二十九条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省低空空域协同管理机构应当加强与军民航空域管理部门协调对接，逐步扩大和完善通用航空飞行网络，优化通用航空飞行报备流程及相关规则，提高通用航空运行效率。</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第三十条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低空协同管理空域内的通用航空飞行活动，应当按照低空协同管理空域管理与使用规则报备，其他通用航空飞行活动按国家现行规定申请或者报备。</w:t>
      </w:r>
    </w:p>
    <w:p w:rsid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第三十一条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对执行应急救援、抢险救灾、医疗救护与反</w:t>
      </w:r>
      <w:proofErr w:type="gramStart"/>
      <w:r w:rsidRPr="000160C5">
        <w:rPr>
          <w:rFonts w:eastAsia="方正仿宋简体" w:hint="eastAsia"/>
          <w:b/>
          <w:bCs/>
          <w:color w:val="000000" w:themeColor="text1"/>
          <w:sz w:val="32"/>
          <w:szCs w:val="32"/>
        </w:rPr>
        <w:t>恐处突</w:t>
      </w:r>
      <w:proofErr w:type="gramEnd"/>
      <w:r w:rsidRPr="000160C5">
        <w:rPr>
          <w:rFonts w:eastAsia="方正仿宋简体" w:hint="eastAsia"/>
          <w:b/>
          <w:bCs/>
          <w:color w:val="000000" w:themeColor="text1"/>
          <w:sz w:val="32"/>
          <w:szCs w:val="32"/>
        </w:rPr>
        <w:t>等紧急、特殊通用航空任务的飞行计划，按照国家规定随报随批。</w:t>
      </w:r>
    </w:p>
    <w:p w:rsidR="000160C5" w:rsidRPr="00BD4FFC" w:rsidRDefault="000160C5" w:rsidP="00F628AB">
      <w:pPr>
        <w:pStyle w:val="NewNew"/>
        <w:tabs>
          <w:tab w:val="left" w:pos="7140"/>
        </w:tabs>
        <w:adjustRightInd w:val="0"/>
        <w:snapToGrid w:val="0"/>
        <w:spacing w:line="580" w:lineRule="exact"/>
        <w:jc w:val="center"/>
        <w:rPr>
          <w:rFonts w:ascii="方正黑体简体" w:eastAsia="方正黑体简体"/>
          <w:b/>
          <w:bCs/>
          <w:color w:val="000000" w:themeColor="text1"/>
          <w:sz w:val="32"/>
          <w:szCs w:val="32"/>
        </w:rPr>
      </w:pPr>
      <w:r w:rsidRPr="00BD4FFC">
        <w:rPr>
          <w:rFonts w:ascii="方正黑体简体" w:eastAsia="方正黑体简体" w:hint="eastAsia"/>
          <w:b/>
          <w:bCs/>
          <w:color w:val="000000" w:themeColor="text1"/>
          <w:sz w:val="32"/>
          <w:szCs w:val="32"/>
        </w:rPr>
        <w:t>第六章</w:t>
      </w:r>
      <w:r w:rsidR="00BD4FFC" w:rsidRPr="00BD4FFC">
        <w:rPr>
          <w:rFonts w:ascii="方正黑体简体" w:eastAsia="方正黑体简体" w:hint="eastAsia"/>
          <w:b/>
          <w:bCs/>
          <w:color w:val="000000" w:themeColor="text1"/>
          <w:sz w:val="32"/>
          <w:szCs w:val="32"/>
        </w:rPr>
        <w:t xml:space="preserve">  </w:t>
      </w:r>
      <w:r w:rsidRPr="00BD4FFC">
        <w:rPr>
          <w:rFonts w:ascii="方正黑体简体" w:eastAsia="方正黑体简体" w:hint="eastAsia"/>
          <w:b/>
          <w:bCs/>
          <w:color w:val="000000" w:themeColor="text1"/>
          <w:sz w:val="32"/>
          <w:szCs w:val="32"/>
        </w:rPr>
        <w:t>安全监管</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第三十二条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从事通用航空飞行活动的单位和个人，应当</w:t>
      </w:r>
      <w:r w:rsidRPr="000160C5">
        <w:rPr>
          <w:rFonts w:eastAsia="方正仿宋简体" w:hint="eastAsia"/>
          <w:b/>
          <w:bCs/>
          <w:color w:val="000000" w:themeColor="text1"/>
          <w:sz w:val="32"/>
          <w:szCs w:val="32"/>
        </w:rPr>
        <w:lastRenderedPageBreak/>
        <w:t>依法取得相应资格，并遵守与空域和飞行管理相关的法律、行政法规和国家有关规定。</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从事通用航空的经营者和航空器驾驶员应当执行相关法律法规和飞行规则，并对飞行活动安全</w:t>
      </w:r>
      <w:proofErr w:type="gramStart"/>
      <w:r w:rsidRPr="000160C5">
        <w:rPr>
          <w:rFonts w:eastAsia="方正仿宋简体" w:hint="eastAsia"/>
          <w:b/>
          <w:bCs/>
          <w:color w:val="000000" w:themeColor="text1"/>
          <w:sz w:val="32"/>
          <w:szCs w:val="32"/>
        </w:rPr>
        <w:t>负主体</w:t>
      </w:r>
      <w:proofErr w:type="gramEnd"/>
      <w:r w:rsidRPr="000160C5">
        <w:rPr>
          <w:rFonts w:eastAsia="方正仿宋简体" w:hint="eastAsia"/>
          <w:b/>
          <w:bCs/>
          <w:color w:val="000000" w:themeColor="text1"/>
          <w:sz w:val="32"/>
          <w:szCs w:val="32"/>
        </w:rPr>
        <w:t>责任。</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第三十三条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任何单位或者个人使用的无线电台（站）和其他仪器、装置，不得对通用航空无线电专用频率的正常使用产生干扰。</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通用航空无线电专用频率受到干扰时，地区民用航空管理机构应当立即采取排查措施，及时消除；无法消除的，应当通报机场所在地地方无线电管理机构，有关无线电管理机构应当采取措施依法查处。</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第三十四条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县级以上地方人民政府及公安、应急管理等有关部门应当配合有关军事机关、民用航空管理机构，依法查处扰乱空中秩序的违法违规行为，保障飞行安全和地面重要目标安全。</w:t>
      </w:r>
    </w:p>
    <w:p w:rsid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第三十五条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县级以上地方人民政府公安、应急管理、体育等有关部门应当依法加强民用无人驾驶航空器、滑翔机、动力伞、飞艇、热气球、航空模型等低空慢速小型飞行器的起降、飞行等活动的监督管理。</w:t>
      </w:r>
    </w:p>
    <w:p w:rsidR="00FF172A" w:rsidRPr="000160C5" w:rsidRDefault="00FF172A"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p>
    <w:p w:rsidR="000160C5" w:rsidRPr="00BD4FFC" w:rsidRDefault="000160C5" w:rsidP="00F628AB">
      <w:pPr>
        <w:pStyle w:val="NewNew"/>
        <w:tabs>
          <w:tab w:val="left" w:pos="7140"/>
        </w:tabs>
        <w:adjustRightInd w:val="0"/>
        <w:snapToGrid w:val="0"/>
        <w:spacing w:line="580" w:lineRule="exact"/>
        <w:jc w:val="center"/>
        <w:rPr>
          <w:rFonts w:ascii="方正黑体简体" w:eastAsia="方正黑体简体"/>
          <w:b/>
          <w:bCs/>
          <w:color w:val="000000" w:themeColor="text1"/>
          <w:sz w:val="32"/>
          <w:szCs w:val="32"/>
        </w:rPr>
      </w:pPr>
      <w:r w:rsidRPr="00BD4FFC">
        <w:rPr>
          <w:rFonts w:ascii="方正黑体简体" w:eastAsia="方正黑体简体" w:hint="eastAsia"/>
          <w:b/>
          <w:bCs/>
          <w:color w:val="000000" w:themeColor="text1"/>
          <w:sz w:val="32"/>
          <w:szCs w:val="32"/>
        </w:rPr>
        <w:t>第七章</w:t>
      </w:r>
      <w:r w:rsidR="00BD4FFC">
        <w:rPr>
          <w:rFonts w:ascii="方正黑体简体" w:eastAsia="方正黑体简体" w:hint="eastAsia"/>
          <w:b/>
          <w:bCs/>
          <w:color w:val="000000" w:themeColor="text1"/>
          <w:sz w:val="32"/>
          <w:szCs w:val="32"/>
        </w:rPr>
        <w:t xml:space="preserve">  </w:t>
      </w:r>
      <w:r w:rsidRPr="00BD4FFC">
        <w:rPr>
          <w:rFonts w:ascii="方正黑体简体" w:eastAsia="方正黑体简体" w:hint="eastAsia"/>
          <w:b/>
          <w:bCs/>
          <w:color w:val="000000" w:themeColor="text1"/>
          <w:sz w:val="32"/>
          <w:szCs w:val="32"/>
        </w:rPr>
        <w:t>服务保障</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第三十六条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省人民政府发展改革部门应当加强全省通用</w:t>
      </w:r>
      <w:r w:rsidRPr="000160C5">
        <w:rPr>
          <w:rFonts w:eastAsia="方正仿宋简体" w:hint="eastAsia"/>
          <w:b/>
          <w:bCs/>
          <w:color w:val="000000" w:themeColor="text1"/>
          <w:sz w:val="32"/>
          <w:szCs w:val="32"/>
        </w:rPr>
        <w:lastRenderedPageBreak/>
        <w:t>航空业发展的信息收集和分析研究，定期对通用航空发展情况进行综合评价。</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第三十七条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县级以上地方人民政府发展改革、经济和信息化、交通运输、财政等有关部门应当为符合条件的通用航空企业享受国家和地方扶持通用航空发展的有关优惠政策提供服务保障。</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第三十八条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县级以上地方人民政府及其有关部门应当依法保护通用航空企业的生产经营权，非因法定事由、非经法定程序不得干涉其正常的生产经营活动。</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第三十九条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县级以上地方人民政府及发展改革、财政、地方金融监管等有关部门（单位）应当拓宽投融资渠道，建立健全投融资机制，支持通用航空相关产业发展。</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鼓励金融机构通过租赁融资、项目融资、物流融资、设立相关险种等多种方式加大对通用航空业的支持。</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第四十条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县级以上地方人民政府及有关部门应当采取措施，促进现代信息技术在通用航空领域的应用和与通用航空产业的融合发展。</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第四十一条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省人民政府教育、人力资源社会保障、体育等部门应当制定推动通用航空发展的人才培养政策措施，加大对通航培训机构优惠扶持，加强通用航空飞行、空管、机务等急需的专业技术技能人才和航空运动专业人才培养。</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县级以上地方人民政府及其有关部门应当支持通用航空发</w:t>
      </w:r>
      <w:r w:rsidRPr="000160C5">
        <w:rPr>
          <w:rFonts w:eastAsia="方正仿宋简体" w:hint="eastAsia"/>
          <w:b/>
          <w:bCs/>
          <w:color w:val="000000" w:themeColor="text1"/>
          <w:sz w:val="32"/>
          <w:szCs w:val="32"/>
        </w:rPr>
        <w:lastRenderedPageBreak/>
        <w:t>展急需的高层次专业技术技能人才引进。</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鼓励高等院校、科研院所、培训机构与通用航空生产、经营、服务单位合作办学，支持通用航空专业人才培养。</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第四十二条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县级以上地方人民政府应当支持通用</w:t>
      </w:r>
      <w:proofErr w:type="gramStart"/>
      <w:r w:rsidRPr="000160C5">
        <w:rPr>
          <w:rFonts w:eastAsia="方正仿宋简体" w:hint="eastAsia"/>
          <w:b/>
          <w:bCs/>
          <w:color w:val="000000" w:themeColor="text1"/>
          <w:sz w:val="32"/>
          <w:szCs w:val="32"/>
        </w:rPr>
        <w:t>航空行业</w:t>
      </w:r>
      <w:proofErr w:type="gramEnd"/>
      <w:r w:rsidRPr="000160C5">
        <w:rPr>
          <w:rFonts w:eastAsia="方正仿宋简体" w:hint="eastAsia"/>
          <w:b/>
          <w:bCs/>
          <w:color w:val="000000" w:themeColor="text1"/>
          <w:sz w:val="32"/>
          <w:szCs w:val="32"/>
        </w:rPr>
        <w:t>协会、产业联盟发挥自身作用，促进通用航空产业发展。</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通用</w:t>
      </w:r>
      <w:proofErr w:type="gramStart"/>
      <w:r w:rsidRPr="000160C5">
        <w:rPr>
          <w:rFonts w:eastAsia="方正仿宋简体" w:hint="eastAsia"/>
          <w:b/>
          <w:bCs/>
          <w:color w:val="000000" w:themeColor="text1"/>
          <w:sz w:val="32"/>
          <w:szCs w:val="32"/>
        </w:rPr>
        <w:t>航空行业</w:t>
      </w:r>
      <w:proofErr w:type="gramEnd"/>
      <w:r w:rsidRPr="000160C5">
        <w:rPr>
          <w:rFonts w:eastAsia="方正仿宋简体" w:hint="eastAsia"/>
          <w:b/>
          <w:bCs/>
          <w:color w:val="000000" w:themeColor="text1"/>
          <w:sz w:val="32"/>
          <w:szCs w:val="32"/>
        </w:rPr>
        <w:t>协会应当依照法律、法规和章程，加强行业自律和诚信制度建设，引导协会成员依法开展生产经营活动，及时反映行业诉求。</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第四十三条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县级以上地方人民政府应当加强航空科学技术普及设施和人才队伍建设，支持开展航空科学普及教育和航空文化推广。</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鼓励和扶持社会力量建设航空科学技术普及场馆、设施，开展航空文化和航空科学技术知识普及活动。</w:t>
      </w:r>
    </w:p>
    <w:p w:rsid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第四十四条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地方各级人民政府及其相关部门的工作人员在通用航空管理工作中，玩忽职守、滥用职权、徇私舞弊的，依法给予处理</w:t>
      </w:r>
      <w:r w:rsidRPr="000160C5">
        <w:rPr>
          <w:rFonts w:eastAsia="方正仿宋简体"/>
          <w:b/>
          <w:bCs/>
          <w:color w:val="000000" w:themeColor="text1"/>
          <w:sz w:val="32"/>
          <w:szCs w:val="32"/>
        </w:rPr>
        <w:t>;</w:t>
      </w:r>
      <w:r w:rsidRPr="000160C5">
        <w:rPr>
          <w:rFonts w:eastAsia="方正仿宋简体" w:hint="eastAsia"/>
          <w:b/>
          <w:bCs/>
          <w:color w:val="000000" w:themeColor="text1"/>
          <w:sz w:val="32"/>
          <w:szCs w:val="32"/>
        </w:rPr>
        <w:t>构成犯罪的，依法追究刑事责任。</w:t>
      </w:r>
    </w:p>
    <w:p w:rsidR="00E54606" w:rsidRPr="000160C5" w:rsidRDefault="00E54606"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p>
    <w:p w:rsidR="000160C5" w:rsidRPr="00BD4FFC" w:rsidRDefault="000160C5" w:rsidP="00F628AB">
      <w:pPr>
        <w:pStyle w:val="NewNew"/>
        <w:tabs>
          <w:tab w:val="left" w:pos="7140"/>
        </w:tabs>
        <w:adjustRightInd w:val="0"/>
        <w:snapToGrid w:val="0"/>
        <w:spacing w:line="580" w:lineRule="exact"/>
        <w:jc w:val="center"/>
        <w:rPr>
          <w:rFonts w:ascii="方正黑体简体" w:eastAsia="方正黑体简体"/>
          <w:b/>
          <w:bCs/>
          <w:color w:val="000000" w:themeColor="text1"/>
          <w:sz w:val="32"/>
          <w:szCs w:val="32"/>
        </w:rPr>
      </w:pPr>
      <w:r w:rsidRPr="00BD4FFC">
        <w:rPr>
          <w:rFonts w:ascii="方正黑体简体" w:eastAsia="方正黑体简体" w:hint="eastAsia"/>
          <w:b/>
          <w:bCs/>
          <w:color w:val="000000" w:themeColor="text1"/>
          <w:sz w:val="32"/>
          <w:szCs w:val="32"/>
        </w:rPr>
        <w:t>第八章</w:t>
      </w:r>
      <w:r w:rsidR="00BD4FFC" w:rsidRPr="00BD4FFC">
        <w:rPr>
          <w:rFonts w:ascii="方正黑体简体" w:eastAsia="方正黑体简体" w:hint="eastAsia"/>
          <w:b/>
          <w:bCs/>
          <w:color w:val="000000" w:themeColor="text1"/>
          <w:sz w:val="32"/>
          <w:szCs w:val="32"/>
        </w:rPr>
        <w:t xml:space="preserve">  </w:t>
      </w:r>
      <w:r w:rsidRPr="00BD4FFC">
        <w:rPr>
          <w:rFonts w:ascii="方正黑体简体" w:eastAsia="方正黑体简体" w:hint="eastAsia"/>
          <w:b/>
          <w:bCs/>
          <w:color w:val="000000" w:themeColor="text1"/>
          <w:sz w:val="32"/>
          <w:szCs w:val="32"/>
        </w:rPr>
        <w:t>附</w:t>
      </w:r>
      <w:r w:rsidR="00F628AB">
        <w:rPr>
          <w:rFonts w:ascii="方正黑体简体" w:eastAsia="方正黑体简体" w:hint="eastAsia"/>
          <w:b/>
          <w:bCs/>
          <w:color w:val="000000" w:themeColor="text1"/>
          <w:sz w:val="32"/>
          <w:szCs w:val="32"/>
        </w:rPr>
        <w:t xml:space="preserve">  </w:t>
      </w:r>
      <w:r w:rsidRPr="00BD4FFC">
        <w:rPr>
          <w:rFonts w:ascii="方正黑体简体" w:eastAsia="方正黑体简体" w:hint="eastAsia"/>
          <w:b/>
          <w:bCs/>
          <w:color w:val="000000" w:themeColor="text1"/>
          <w:sz w:val="32"/>
          <w:szCs w:val="32"/>
        </w:rPr>
        <w:t>则</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第四十五条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本条例下列用语的含义：</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通用航空是指使用民用航空器从事公共航空运输以外的民用航空活动，包括从事工业、农业、林业、渔业和建筑业的作业飞行以及医疗卫生、抢险救灾、气象探测、海洋监测、科学</w:t>
      </w:r>
      <w:r w:rsidRPr="000160C5">
        <w:rPr>
          <w:rFonts w:eastAsia="方正仿宋简体" w:hint="eastAsia"/>
          <w:b/>
          <w:bCs/>
          <w:color w:val="000000" w:themeColor="text1"/>
          <w:sz w:val="32"/>
          <w:szCs w:val="32"/>
        </w:rPr>
        <w:lastRenderedPageBreak/>
        <w:t>实验、教育训练、文化体育等方面的飞行活动。</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通用航空业是指以通用航空飞行活动为核心，涵盖通用航空器研发制造、市场运营、综合保障以及延伸服务等全产业链的新兴产业体系。</w:t>
      </w:r>
    </w:p>
    <w:p w:rsidR="000160C5"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通用机场是指为从事工业、农业、林业、渔业和建筑业的作业飞行，以及医疗卫生、抢险救灾、气象探测、海洋监测、科学实验、教育训练、文化体育等飞行活动的民用航空器提供起飞、降落等服务的机场。</w:t>
      </w:r>
    </w:p>
    <w:p w:rsid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仿宋简体" w:hint="eastAsia"/>
          <w:b/>
          <w:bCs/>
          <w:color w:val="000000" w:themeColor="text1"/>
          <w:sz w:val="32"/>
          <w:szCs w:val="32"/>
        </w:rPr>
        <w:t>通用机场净空保护区域是指为保障通用航空器起飞、降落安全，按照通用机场净空障碍物限制图和《民用机场飞行区技术标准》的相关要求划定的空间范围。</w:t>
      </w:r>
    </w:p>
    <w:p w:rsidR="00AD4736" w:rsidRPr="000160C5" w:rsidRDefault="000160C5" w:rsidP="00F628A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0160C5">
        <w:rPr>
          <w:rFonts w:eastAsia="方正楷体简体" w:hint="eastAsia"/>
          <w:b/>
          <w:bCs/>
          <w:color w:val="000000" w:themeColor="text1"/>
          <w:sz w:val="32"/>
          <w:szCs w:val="32"/>
        </w:rPr>
        <w:t>第四十六条</w:t>
      </w:r>
      <w:r w:rsidR="00B741AB">
        <w:rPr>
          <w:rFonts w:eastAsia="方正楷体简体" w:hint="eastAsia"/>
          <w:b/>
          <w:bCs/>
          <w:color w:val="000000" w:themeColor="text1"/>
          <w:sz w:val="32"/>
          <w:szCs w:val="32"/>
        </w:rPr>
        <w:t xml:space="preserve">  </w:t>
      </w:r>
      <w:r w:rsidRPr="000160C5">
        <w:rPr>
          <w:rFonts w:eastAsia="方正仿宋简体" w:hint="eastAsia"/>
          <w:b/>
          <w:bCs/>
          <w:color w:val="000000" w:themeColor="text1"/>
          <w:sz w:val="32"/>
          <w:szCs w:val="32"/>
        </w:rPr>
        <w:t>本条例自</w:t>
      </w:r>
      <w:r w:rsidR="006914CF">
        <w:rPr>
          <w:rFonts w:eastAsia="方正仿宋简体" w:hint="eastAsia"/>
          <w:b/>
          <w:bCs/>
          <w:color w:val="000000" w:themeColor="text1"/>
          <w:sz w:val="32"/>
          <w:szCs w:val="32"/>
        </w:rPr>
        <w:t xml:space="preserve">  </w:t>
      </w:r>
      <w:r w:rsidRPr="000160C5">
        <w:rPr>
          <w:rFonts w:eastAsia="方正仿宋简体" w:hint="eastAsia"/>
          <w:b/>
          <w:bCs/>
          <w:color w:val="000000" w:themeColor="text1"/>
          <w:sz w:val="32"/>
          <w:szCs w:val="32"/>
        </w:rPr>
        <w:t>年</w:t>
      </w:r>
      <w:r w:rsidR="006914CF">
        <w:rPr>
          <w:rFonts w:eastAsia="方正仿宋简体" w:hint="eastAsia"/>
          <w:b/>
          <w:bCs/>
          <w:color w:val="000000" w:themeColor="text1"/>
          <w:sz w:val="32"/>
          <w:szCs w:val="32"/>
        </w:rPr>
        <w:t xml:space="preserve">  </w:t>
      </w:r>
      <w:r w:rsidRPr="000160C5">
        <w:rPr>
          <w:rFonts w:eastAsia="方正仿宋简体" w:hint="eastAsia"/>
          <w:b/>
          <w:bCs/>
          <w:color w:val="000000" w:themeColor="text1"/>
          <w:sz w:val="32"/>
          <w:szCs w:val="32"/>
        </w:rPr>
        <w:t>月</w:t>
      </w:r>
      <w:r w:rsidR="006914CF">
        <w:rPr>
          <w:rFonts w:eastAsia="方正仿宋简体" w:hint="eastAsia"/>
          <w:b/>
          <w:bCs/>
          <w:color w:val="000000" w:themeColor="text1"/>
          <w:sz w:val="32"/>
          <w:szCs w:val="32"/>
        </w:rPr>
        <w:t xml:space="preserve">  </w:t>
      </w:r>
      <w:r w:rsidRPr="000160C5">
        <w:rPr>
          <w:rFonts w:eastAsia="方正仿宋简体" w:hint="eastAsia"/>
          <w:b/>
          <w:bCs/>
          <w:color w:val="000000" w:themeColor="text1"/>
          <w:sz w:val="32"/>
          <w:szCs w:val="32"/>
        </w:rPr>
        <w:t>日起施行。</w:t>
      </w:r>
    </w:p>
    <w:p w:rsidR="00BD4FFC" w:rsidRDefault="00BD4FFC" w:rsidP="00405400">
      <w:pPr>
        <w:adjustRightInd w:val="0"/>
        <w:snapToGrid w:val="0"/>
        <w:spacing w:line="660" w:lineRule="exact"/>
        <w:ind w:firstLineChars="202" w:firstLine="681"/>
        <w:rPr>
          <w:rFonts w:ascii="Times New Roman" w:eastAsia="方正仿宋简体" w:hAnsi="Times New Roman" w:cs="Times New Roman"/>
          <w:b/>
          <w:color w:val="000000"/>
          <w:spacing w:val="8"/>
          <w:sz w:val="32"/>
          <w:szCs w:val="32"/>
        </w:rPr>
      </w:pPr>
    </w:p>
    <w:p w:rsidR="00E54606" w:rsidRDefault="00E54606" w:rsidP="00405400">
      <w:pPr>
        <w:adjustRightInd w:val="0"/>
        <w:snapToGrid w:val="0"/>
        <w:spacing w:line="660" w:lineRule="exact"/>
        <w:ind w:firstLineChars="202" w:firstLine="681"/>
        <w:rPr>
          <w:rFonts w:ascii="Times New Roman" w:eastAsia="方正仿宋简体" w:hAnsi="Times New Roman" w:cs="Times New Roman"/>
          <w:b/>
          <w:color w:val="000000"/>
          <w:spacing w:val="8"/>
          <w:sz w:val="32"/>
          <w:szCs w:val="32"/>
        </w:rPr>
      </w:pPr>
    </w:p>
    <w:p w:rsidR="00BD4FFC" w:rsidRDefault="00BD4FFC" w:rsidP="00405400">
      <w:pPr>
        <w:adjustRightInd w:val="0"/>
        <w:snapToGrid w:val="0"/>
        <w:spacing w:line="660" w:lineRule="exact"/>
        <w:ind w:firstLineChars="202" w:firstLine="681"/>
        <w:rPr>
          <w:rFonts w:ascii="Times New Roman" w:eastAsia="方正仿宋简体" w:hAnsi="Times New Roman" w:cs="Times New Roman"/>
          <w:b/>
          <w:color w:val="000000"/>
          <w:spacing w:val="8"/>
          <w:sz w:val="32"/>
          <w:szCs w:val="32"/>
        </w:rPr>
      </w:pPr>
    </w:p>
    <w:p w:rsidR="006914CF" w:rsidRDefault="006914CF" w:rsidP="00405400">
      <w:pPr>
        <w:adjustRightInd w:val="0"/>
        <w:snapToGrid w:val="0"/>
        <w:spacing w:line="660" w:lineRule="exact"/>
        <w:ind w:firstLineChars="202" w:firstLine="681"/>
        <w:rPr>
          <w:rFonts w:ascii="Times New Roman" w:eastAsia="方正仿宋简体" w:hAnsi="Times New Roman" w:cs="Times New Roman"/>
          <w:b/>
          <w:color w:val="000000"/>
          <w:spacing w:val="8"/>
          <w:sz w:val="32"/>
          <w:szCs w:val="32"/>
        </w:rPr>
      </w:pPr>
    </w:p>
    <w:p w:rsidR="00897164" w:rsidRDefault="00897164" w:rsidP="00897164">
      <w:pPr>
        <w:adjustRightInd w:val="0"/>
        <w:snapToGrid w:val="0"/>
        <w:spacing w:line="200" w:lineRule="exact"/>
        <w:ind w:firstLineChars="202" w:firstLine="681"/>
        <w:rPr>
          <w:rFonts w:ascii="Times New Roman" w:eastAsia="方正仿宋简体" w:hAnsi="Times New Roman" w:cs="Times New Roman"/>
          <w:b/>
          <w:color w:val="000000"/>
          <w:spacing w:val="8"/>
          <w:sz w:val="32"/>
          <w:szCs w:val="32"/>
        </w:rPr>
      </w:pPr>
    </w:p>
    <w:p w:rsidR="00897164" w:rsidRDefault="00897164" w:rsidP="00897164">
      <w:pPr>
        <w:adjustRightInd w:val="0"/>
        <w:snapToGrid w:val="0"/>
        <w:spacing w:line="200" w:lineRule="exact"/>
        <w:ind w:firstLineChars="202" w:firstLine="681"/>
        <w:rPr>
          <w:rFonts w:ascii="Times New Roman" w:eastAsia="方正仿宋简体" w:hAnsi="Times New Roman" w:cs="Times New Roman"/>
          <w:b/>
          <w:color w:val="000000"/>
          <w:spacing w:val="8"/>
          <w:sz w:val="32"/>
          <w:szCs w:val="32"/>
        </w:rPr>
      </w:pPr>
      <w:bookmarkStart w:id="0" w:name="_GoBack"/>
      <w:bookmarkEnd w:id="0"/>
    </w:p>
    <w:sectPr w:rsidR="00897164" w:rsidSect="008665C5">
      <w:footerReference w:type="even" r:id="rId8"/>
      <w:footerReference w:type="default" r:id="rId9"/>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59" w:rsidRDefault="00D15E59" w:rsidP="008665C5">
      <w:r>
        <w:separator/>
      </w:r>
    </w:p>
  </w:endnote>
  <w:endnote w:type="continuationSeparator" w:id="0">
    <w:p w:rsidR="00D15E59" w:rsidRDefault="00D15E59" w:rsidP="0086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C5" w:rsidRPr="008665C5" w:rsidRDefault="008665C5">
    <w:pPr>
      <w:pStyle w:val="a4"/>
      <w:rPr>
        <w:rFonts w:ascii="Times New Roman" w:hAnsi="Times New Roman" w:cs="Times New Roman"/>
        <w:sz w:val="28"/>
        <w:szCs w:val="28"/>
      </w:rPr>
    </w:pPr>
    <w:r w:rsidRPr="008665C5">
      <w:rPr>
        <w:rFonts w:ascii="Times New Roman" w:hAnsi="Times New Roman" w:cs="Times New Roman"/>
        <w:sz w:val="28"/>
        <w:szCs w:val="28"/>
      </w:rPr>
      <w:t xml:space="preserve">— </w:t>
    </w:r>
    <w:sdt>
      <w:sdtPr>
        <w:rPr>
          <w:rFonts w:ascii="Times New Roman" w:hAnsi="Times New Roman" w:cs="Times New Roman"/>
          <w:sz w:val="28"/>
          <w:szCs w:val="28"/>
        </w:rPr>
        <w:id w:val="1708293533"/>
        <w:docPartObj>
          <w:docPartGallery w:val="Page Numbers (Bottom of Page)"/>
          <w:docPartUnique/>
        </w:docPartObj>
      </w:sdtPr>
      <w:sdtEndPr/>
      <w:sdtContent>
        <w:r w:rsidR="0042107A" w:rsidRPr="008665C5">
          <w:rPr>
            <w:rFonts w:ascii="Times New Roman" w:hAnsi="Times New Roman" w:cs="Times New Roman"/>
            <w:sz w:val="28"/>
            <w:szCs w:val="28"/>
          </w:rPr>
          <w:fldChar w:fldCharType="begin"/>
        </w:r>
        <w:r w:rsidRPr="008665C5">
          <w:rPr>
            <w:rFonts w:ascii="Times New Roman" w:hAnsi="Times New Roman" w:cs="Times New Roman"/>
            <w:sz w:val="28"/>
            <w:szCs w:val="28"/>
          </w:rPr>
          <w:instrText>PAGE   \* MERGEFORMAT</w:instrText>
        </w:r>
        <w:r w:rsidR="0042107A" w:rsidRPr="008665C5">
          <w:rPr>
            <w:rFonts w:ascii="Times New Roman" w:hAnsi="Times New Roman" w:cs="Times New Roman"/>
            <w:sz w:val="28"/>
            <w:szCs w:val="28"/>
          </w:rPr>
          <w:fldChar w:fldCharType="separate"/>
        </w:r>
        <w:r w:rsidR="00262175" w:rsidRPr="00262175">
          <w:rPr>
            <w:rFonts w:ascii="Times New Roman" w:hAnsi="Times New Roman" w:cs="Times New Roman"/>
            <w:noProof/>
            <w:sz w:val="28"/>
            <w:szCs w:val="28"/>
            <w:lang w:val="zh-CN"/>
          </w:rPr>
          <w:t>12</w:t>
        </w:r>
        <w:r w:rsidR="0042107A" w:rsidRPr="008665C5">
          <w:rPr>
            <w:rFonts w:ascii="Times New Roman" w:hAnsi="Times New Roman" w:cs="Times New Roman"/>
            <w:sz w:val="28"/>
            <w:szCs w:val="28"/>
          </w:rPr>
          <w:fldChar w:fldCharType="end"/>
        </w:r>
        <w:r w:rsidRPr="008665C5">
          <w:rPr>
            <w:rFonts w:ascii="Times New Roman" w:hAnsi="Times New Roman" w:cs="Times New Roman"/>
            <w:sz w:val="28"/>
            <w:szCs w:val="28"/>
          </w:rPr>
          <w:t xml:space="preserve"> —</w:t>
        </w:r>
      </w:sdtContent>
    </w:sdt>
  </w:p>
  <w:p w:rsidR="008665C5" w:rsidRPr="008665C5" w:rsidRDefault="008665C5">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C5" w:rsidRPr="008665C5" w:rsidRDefault="008665C5">
    <w:pPr>
      <w:pStyle w:val="a4"/>
      <w:jc w:val="right"/>
      <w:rPr>
        <w:rFonts w:ascii="Times New Roman" w:hAnsi="Times New Roman" w:cs="Times New Roman"/>
        <w:sz w:val="28"/>
        <w:szCs w:val="28"/>
      </w:rPr>
    </w:pPr>
    <w:r w:rsidRPr="008665C5">
      <w:rPr>
        <w:rFonts w:ascii="Times New Roman" w:hAnsi="Times New Roman" w:cs="Times New Roman"/>
        <w:sz w:val="28"/>
        <w:szCs w:val="28"/>
      </w:rPr>
      <w:t xml:space="preserve">— </w:t>
    </w:r>
    <w:sdt>
      <w:sdtPr>
        <w:rPr>
          <w:rFonts w:ascii="Times New Roman" w:hAnsi="Times New Roman" w:cs="Times New Roman"/>
          <w:sz w:val="28"/>
          <w:szCs w:val="28"/>
        </w:rPr>
        <w:id w:val="767971402"/>
        <w:docPartObj>
          <w:docPartGallery w:val="Page Numbers (Bottom of Page)"/>
          <w:docPartUnique/>
        </w:docPartObj>
      </w:sdtPr>
      <w:sdtEndPr/>
      <w:sdtContent>
        <w:r w:rsidR="0042107A" w:rsidRPr="008665C5">
          <w:rPr>
            <w:rFonts w:ascii="Times New Roman" w:hAnsi="Times New Roman" w:cs="Times New Roman"/>
            <w:sz w:val="28"/>
            <w:szCs w:val="28"/>
          </w:rPr>
          <w:fldChar w:fldCharType="begin"/>
        </w:r>
        <w:r w:rsidRPr="008665C5">
          <w:rPr>
            <w:rFonts w:ascii="Times New Roman" w:hAnsi="Times New Roman" w:cs="Times New Roman"/>
            <w:sz w:val="28"/>
            <w:szCs w:val="28"/>
          </w:rPr>
          <w:instrText>PAGE   \* MERGEFORMAT</w:instrText>
        </w:r>
        <w:r w:rsidR="0042107A" w:rsidRPr="008665C5">
          <w:rPr>
            <w:rFonts w:ascii="Times New Roman" w:hAnsi="Times New Roman" w:cs="Times New Roman"/>
            <w:sz w:val="28"/>
            <w:szCs w:val="28"/>
          </w:rPr>
          <w:fldChar w:fldCharType="separate"/>
        </w:r>
        <w:r w:rsidR="00262175" w:rsidRPr="00262175">
          <w:rPr>
            <w:rFonts w:ascii="Times New Roman" w:hAnsi="Times New Roman" w:cs="Times New Roman"/>
            <w:noProof/>
            <w:sz w:val="28"/>
            <w:szCs w:val="28"/>
            <w:lang w:val="zh-CN"/>
          </w:rPr>
          <w:t>11</w:t>
        </w:r>
        <w:r w:rsidR="0042107A" w:rsidRPr="008665C5">
          <w:rPr>
            <w:rFonts w:ascii="Times New Roman" w:hAnsi="Times New Roman" w:cs="Times New Roman"/>
            <w:sz w:val="28"/>
            <w:szCs w:val="28"/>
          </w:rPr>
          <w:fldChar w:fldCharType="end"/>
        </w:r>
        <w:r w:rsidRPr="008665C5">
          <w:rPr>
            <w:rFonts w:ascii="Times New Roman" w:hAnsi="Times New Roman" w:cs="Times New Roman"/>
            <w:sz w:val="28"/>
            <w:szCs w:val="28"/>
          </w:rPr>
          <w:t xml:space="preserve"> —</w:t>
        </w:r>
      </w:sdtContent>
    </w:sdt>
  </w:p>
  <w:p w:rsidR="008665C5" w:rsidRPr="008665C5" w:rsidRDefault="008665C5">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59" w:rsidRDefault="00D15E59" w:rsidP="008665C5">
      <w:r>
        <w:separator/>
      </w:r>
    </w:p>
  </w:footnote>
  <w:footnote w:type="continuationSeparator" w:id="0">
    <w:p w:rsidR="00D15E59" w:rsidRDefault="00D15E59" w:rsidP="00866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51"/>
    <w:rsid w:val="00001592"/>
    <w:rsid w:val="00011C18"/>
    <w:rsid w:val="000160C5"/>
    <w:rsid w:val="00063D55"/>
    <w:rsid w:val="000E4672"/>
    <w:rsid w:val="000E7FF3"/>
    <w:rsid w:val="000F12B5"/>
    <w:rsid w:val="00123F70"/>
    <w:rsid w:val="00125CE1"/>
    <w:rsid w:val="00171314"/>
    <w:rsid w:val="00185DED"/>
    <w:rsid w:val="00196625"/>
    <w:rsid w:val="001D6AB9"/>
    <w:rsid w:val="001E1EE0"/>
    <w:rsid w:val="001F33FF"/>
    <w:rsid w:val="00226486"/>
    <w:rsid w:val="00262175"/>
    <w:rsid w:val="00296D08"/>
    <w:rsid w:val="002F28CB"/>
    <w:rsid w:val="002F6F9F"/>
    <w:rsid w:val="00327AB2"/>
    <w:rsid w:val="00341619"/>
    <w:rsid w:val="003D7682"/>
    <w:rsid w:val="003E763E"/>
    <w:rsid w:val="00405400"/>
    <w:rsid w:val="0042107A"/>
    <w:rsid w:val="0042521D"/>
    <w:rsid w:val="0043363C"/>
    <w:rsid w:val="00483AED"/>
    <w:rsid w:val="004A4616"/>
    <w:rsid w:val="005600AA"/>
    <w:rsid w:val="00564A3F"/>
    <w:rsid w:val="005D2218"/>
    <w:rsid w:val="005E3FE2"/>
    <w:rsid w:val="005E5BFA"/>
    <w:rsid w:val="005F6291"/>
    <w:rsid w:val="00660AA5"/>
    <w:rsid w:val="0066182F"/>
    <w:rsid w:val="006914CF"/>
    <w:rsid w:val="006B6A21"/>
    <w:rsid w:val="006D5180"/>
    <w:rsid w:val="00773EA8"/>
    <w:rsid w:val="00780EEE"/>
    <w:rsid w:val="00785EE7"/>
    <w:rsid w:val="007B648C"/>
    <w:rsid w:val="007F0B46"/>
    <w:rsid w:val="007F0BE9"/>
    <w:rsid w:val="008018AB"/>
    <w:rsid w:val="008665C5"/>
    <w:rsid w:val="00870832"/>
    <w:rsid w:val="008822B4"/>
    <w:rsid w:val="00894252"/>
    <w:rsid w:val="00897164"/>
    <w:rsid w:val="008B7A71"/>
    <w:rsid w:val="008C764A"/>
    <w:rsid w:val="008D0EAC"/>
    <w:rsid w:val="008E7A55"/>
    <w:rsid w:val="009132B7"/>
    <w:rsid w:val="00996792"/>
    <w:rsid w:val="009B0918"/>
    <w:rsid w:val="009B4F6A"/>
    <w:rsid w:val="009C0E98"/>
    <w:rsid w:val="00A70ABD"/>
    <w:rsid w:val="00A741A9"/>
    <w:rsid w:val="00A77CD3"/>
    <w:rsid w:val="00AB3C8F"/>
    <w:rsid w:val="00AC561B"/>
    <w:rsid w:val="00AD4736"/>
    <w:rsid w:val="00B12935"/>
    <w:rsid w:val="00B271BC"/>
    <w:rsid w:val="00B741AB"/>
    <w:rsid w:val="00BA0151"/>
    <w:rsid w:val="00BA77B6"/>
    <w:rsid w:val="00BC5B13"/>
    <w:rsid w:val="00BD4FFC"/>
    <w:rsid w:val="00BF2139"/>
    <w:rsid w:val="00C016B8"/>
    <w:rsid w:val="00C14D5D"/>
    <w:rsid w:val="00C32F87"/>
    <w:rsid w:val="00C815AD"/>
    <w:rsid w:val="00C85825"/>
    <w:rsid w:val="00D11CFB"/>
    <w:rsid w:val="00D15E59"/>
    <w:rsid w:val="00D27D43"/>
    <w:rsid w:val="00D33310"/>
    <w:rsid w:val="00DC488D"/>
    <w:rsid w:val="00DC7610"/>
    <w:rsid w:val="00DD4D7D"/>
    <w:rsid w:val="00E25FAF"/>
    <w:rsid w:val="00E54606"/>
    <w:rsid w:val="00EE1AAE"/>
    <w:rsid w:val="00F037C3"/>
    <w:rsid w:val="00F14641"/>
    <w:rsid w:val="00F628AB"/>
    <w:rsid w:val="00FB3824"/>
    <w:rsid w:val="00FC5B02"/>
    <w:rsid w:val="00FD2062"/>
    <w:rsid w:val="00FD4080"/>
    <w:rsid w:val="00FF17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400"/>
    <w:rPr>
      <w:rFonts w:ascii="Calibri" w:eastAsia="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rsid w:val="00BA0151"/>
    <w:pPr>
      <w:widowControl w:val="0"/>
      <w:jc w:val="both"/>
    </w:pPr>
    <w:rPr>
      <w:rFonts w:ascii="Times New Roman" w:eastAsia="宋体" w:hAnsi="Times New Roman" w:cs="Times New Roman"/>
      <w:szCs w:val="24"/>
    </w:rPr>
  </w:style>
  <w:style w:type="paragraph" w:styleId="a3">
    <w:name w:val="header"/>
    <w:basedOn w:val="a"/>
    <w:link w:val="Char"/>
    <w:uiPriority w:val="99"/>
    <w:unhideWhenUsed/>
    <w:rsid w:val="008665C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665C5"/>
    <w:rPr>
      <w:sz w:val="18"/>
      <w:szCs w:val="18"/>
    </w:rPr>
  </w:style>
  <w:style w:type="paragraph" w:styleId="a4">
    <w:name w:val="footer"/>
    <w:basedOn w:val="a"/>
    <w:link w:val="Char0"/>
    <w:uiPriority w:val="99"/>
    <w:unhideWhenUsed/>
    <w:rsid w:val="008665C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665C5"/>
    <w:rPr>
      <w:sz w:val="18"/>
      <w:szCs w:val="18"/>
    </w:rPr>
  </w:style>
  <w:style w:type="paragraph" w:styleId="a5">
    <w:name w:val="Balloon Text"/>
    <w:basedOn w:val="a"/>
    <w:link w:val="Char1"/>
    <w:uiPriority w:val="99"/>
    <w:semiHidden/>
    <w:unhideWhenUsed/>
    <w:rsid w:val="005F6291"/>
    <w:rPr>
      <w:sz w:val="18"/>
      <w:szCs w:val="18"/>
    </w:rPr>
  </w:style>
  <w:style w:type="character" w:customStyle="1" w:styleId="Char1">
    <w:name w:val="批注框文本 Char"/>
    <w:basedOn w:val="a0"/>
    <w:link w:val="a5"/>
    <w:uiPriority w:val="99"/>
    <w:semiHidden/>
    <w:rsid w:val="005F62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400"/>
    <w:rPr>
      <w:rFonts w:ascii="Calibri" w:eastAsia="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rsid w:val="00BA0151"/>
    <w:pPr>
      <w:widowControl w:val="0"/>
      <w:jc w:val="both"/>
    </w:pPr>
    <w:rPr>
      <w:rFonts w:ascii="Times New Roman" w:eastAsia="宋体" w:hAnsi="Times New Roman" w:cs="Times New Roman"/>
      <w:szCs w:val="24"/>
    </w:rPr>
  </w:style>
  <w:style w:type="paragraph" w:styleId="a3">
    <w:name w:val="header"/>
    <w:basedOn w:val="a"/>
    <w:link w:val="Char"/>
    <w:uiPriority w:val="99"/>
    <w:unhideWhenUsed/>
    <w:rsid w:val="008665C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665C5"/>
    <w:rPr>
      <w:sz w:val="18"/>
      <w:szCs w:val="18"/>
    </w:rPr>
  </w:style>
  <w:style w:type="paragraph" w:styleId="a4">
    <w:name w:val="footer"/>
    <w:basedOn w:val="a"/>
    <w:link w:val="Char0"/>
    <w:uiPriority w:val="99"/>
    <w:unhideWhenUsed/>
    <w:rsid w:val="008665C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665C5"/>
    <w:rPr>
      <w:sz w:val="18"/>
      <w:szCs w:val="18"/>
    </w:rPr>
  </w:style>
  <w:style w:type="paragraph" w:styleId="a5">
    <w:name w:val="Balloon Text"/>
    <w:basedOn w:val="a"/>
    <w:link w:val="Char1"/>
    <w:uiPriority w:val="99"/>
    <w:semiHidden/>
    <w:unhideWhenUsed/>
    <w:rsid w:val="005F6291"/>
    <w:rPr>
      <w:sz w:val="18"/>
      <w:szCs w:val="18"/>
    </w:rPr>
  </w:style>
  <w:style w:type="character" w:customStyle="1" w:styleId="Char1">
    <w:name w:val="批注框文本 Char"/>
    <w:basedOn w:val="a0"/>
    <w:link w:val="a5"/>
    <w:uiPriority w:val="99"/>
    <w:semiHidden/>
    <w:rsid w:val="005F62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4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3F5B-B84F-460B-8586-15EC79F5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824</Words>
  <Characters>4703</Characters>
  <Application>Microsoft Office Word</Application>
  <DocSecurity>0</DocSecurity>
  <Lines>39</Lines>
  <Paragraphs>11</Paragraphs>
  <ScaleCrop>false</ScaleCrop>
  <Company>Lenovo</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10</cp:revision>
  <cp:lastPrinted>2020-07-23T07:51:00Z</cp:lastPrinted>
  <dcterms:created xsi:type="dcterms:W3CDTF">2020-07-23T03:13:00Z</dcterms:created>
  <dcterms:modified xsi:type="dcterms:W3CDTF">2020-08-03T07:33:00Z</dcterms:modified>
</cp:coreProperties>
</file>