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rFonts w:ascii="宋体" w:hAnsi="宋体" w:cs="宋体"/>
          <w:b/>
          <w:bCs/>
          <w:sz w:val="32"/>
          <w:szCs w:val="32"/>
        </w:rPr>
      </w:pPr>
      <w:r>
        <w:rPr>
          <w:rFonts w:hint="eastAsia" w:ascii="宋体" w:hAnsi="宋体" w:cs="宋体"/>
          <w:b/>
          <w:bCs/>
          <w:sz w:val="32"/>
          <w:szCs w:val="32"/>
        </w:rPr>
        <w:t>《人大预算联网审查监督数据信息提供规范 税务》</w:t>
      </w:r>
    </w:p>
    <w:p>
      <w:pPr>
        <w:jc w:val="center"/>
        <w:rPr>
          <w:rFonts w:ascii="宋体" w:hAnsi="宋体" w:cs="宋体"/>
          <w:b/>
          <w:bCs/>
          <w:sz w:val="32"/>
          <w:szCs w:val="32"/>
        </w:rPr>
      </w:pPr>
      <w:r>
        <w:rPr>
          <w:rFonts w:hint="eastAsia" w:ascii="宋体" w:hAnsi="宋体" w:cs="宋体"/>
          <w:b/>
          <w:bCs/>
          <w:sz w:val="32"/>
          <w:szCs w:val="32"/>
        </w:rPr>
        <w:t>（征求意见稿）</w:t>
      </w:r>
    </w:p>
    <w:p>
      <w:pPr>
        <w:jc w:val="center"/>
        <w:rPr>
          <w:rFonts w:ascii="宋体" w:hAnsi="宋体" w:cs="宋体"/>
          <w:b/>
          <w:bCs/>
          <w:sz w:val="32"/>
          <w:szCs w:val="32"/>
        </w:rPr>
      </w:pPr>
      <w:r>
        <w:rPr>
          <w:rFonts w:hint="eastAsia" w:ascii="宋体" w:hAnsi="宋体" w:cs="宋体"/>
          <w:b/>
          <w:bCs/>
          <w:sz w:val="32"/>
          <w:szCs w:val="32"/>
        </w:rPr>
        <w:t>地方标准编制说明</w:t>
      </w:r>
    </w:p>
    <w:p>
      <w:pPr>
        <w:jc w:val="center"/>
        <w:rPr>
          <w:rFonts w:ascii="仿宋_GB2312" w:eastAsia="仿宋_GB2312" w:cs="Times New Roman"/>
          <w:b/>
          <w:bCs/>
          <w:sz w:val="44"/>
          <w:szCs w:val="44"/>
        </w:rPr>
      </w:pPr>
    </w:p>
    <w:p>
      <w:pPr>
        <w:spacing w:line="600" w:lineRule="exact"/>
        <w:ind w:firstLine="643" w:firstLineChars="200"/>
        <w:rPr>
          <w:rFonts w:ascii="仿宋" w:hAnsi="仿宋" w:eastAsia="仿宋" w:cs="Times New Roman"/>
          <w:b/>
          <w:bCs/>
          <w:sz w:val="32"/>
          <w:szCs w:val="32"/>
        </w:rPr>
      </w:pPr>
      <w:r>
        <w:rPr>
          <w:rFonts w:hint="eastAsia" w:ascii="仿宋" w:hAnsi="仿宋" w:eastAsia="仿宋" w:cs="仿宋_GB2312"/>
          <w:b/>
          <w:bCs/>
          <w:sz w:val="32"/>
          <w:szCs w:val="32"/>
        </w:rPr>
        <w:t>一、任务来源</w:t>
      </w:r>
    </w:p>
    <w:p>
      <w:pPr>
        <w:spacing w:line="600" w:lineRule="exact"/>
        <w:jc w:val="left"/>
        <w:rPr>
          <w:rFonts w:ascii="仿宋" w:hAnsi="仿宋" w:eastAsia="仿宋" w:cs="仿宋_GB2312"/>
          <w:sz w:val="32"/>
          <w:szCs w:val="32"/>
        </w:rPr>
      </w:pPr>
      <w:r>
        <w:rPr>
          <w:rFonts w:hint="eastAsia" w:ascii="仿宋" w:hAnsi="仿宋" w:eastAsia="仿宋" w:cs="仿宋_GB2312"/>
          <w:sz w:val="32"/>
          <w:szCs w:val="32"/>
        </w:rPr>
        <w:t xml:space="preserve">    《人大预算联网审查监督数据信息提供规范  税务》四川省地方标准是四川省市场监督管理局2019 年度地方标准制修订立项计划项目（川市监函〔2019〕451 号），由省人大常委会办公厅提出并归口，省人大常委会预算工委承担起草。</w:t>
      </w:r>
    </w:p>
    <w:p>
      <w:pPr>
        <w:spacing w:line="600" w:lineRule="exact"/>
        <w:ind w:firstLine="643" w:firstLineChars="200"/>
        <w:rPr>
          <w:rFonts w:ascii="仿宋" w:hAnsi="仿宋" w:eastAsia="仿宋" w:cs="Times New Roman"/>
          <w:sz w:val="32"/>
          <w:szCs w:val="32"/>
        </w:rPr>
      </w:pPr>
      <w:r>
        <w:rPr>
          <w:rFonts w:hint="eastAsia" w:ascii="仿宋" w:hAnsi="仿宋" w:eastAsia="仿宋" w:cs="仿宋_GB2312"/>
          <w:b/>
          <w:bCs/>
          <w:sz w:val="32"/>
          <w:szCs w:val="32"/>
        </w:rPr>
        <w:t>二、编制背景与目标</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为贯彻落实党的十八大和十八届三中全会关于加强政府全口径预算决算审查监督的要求和《预算法》的规定，以及习近平总书记治国理政新理念新思想新战略系列重要讲话精神，全国</w:t>
      </w:r>
      <w:r>
        <w:rPr>
          <w:rFonts w:hint="eastAsia" w:ascii="仿宋" w:hAnsi="仿宋" w:eastAsia="仿宋" w:cs="仿宋_GB2312"/>
          <w:sz w:val="32"/>
          <w:szCs w:val="32"/>
          <w:lang w:eastAsia="zh-CN"/>
        </w:rPr>
        <w:t>人大常委员办公厅</w:t>
      </w:r>
      <w:bookmarkStart w:id="0" w:name="_GoBack"/>
      <w:bookmarkEnd w:id="0"/>
      <w:r>
        <w:rPr>
          <w:rFonts w:hint="eastAsia" w:ascii="仿宋" w:hAnsi="仿宋" w:eastAsia="仿宋" w:cs="仿宋_GB2312"/>
          <w:sz w:val="32"/>
          <w:szCs w:val="32"/>
        </w:rPr>
        <w:t>出台《关于推进地方人大预算联网监督工作的指导意见》，明确指出，实施人大预算联网审查监督，是加强人大预算决算审查监督的创新之举，是建立和完善中国特色社会主义预算审查监督制度的有益探索，也是新形势下加强和改进人大预算联网审查、提高监督针对性和有效性的客观需要。</w:t>
      </w:r>
    </w:p>
    <w:p>
      <w:pPr>
        <w:spacing w:line="600" w:lineRule="exact"/>
        <w:ind w:firstLine="640" w:firstLineChars="200"/>
        <w:rPr>
          <w:sz w:val="28"/>
          <w:szCs w:val="28"/>
        </w:rPr>
      </w:pPr>
      <w:r>
        <w:rPr>
          <w:rFonts w:hint="eastAsia" w:ascii="仿宋" w:hAnsi="仿宋" w:eastAsia="仿宋" w:cs="仿宋_GB2312"/>
          <w:sz w:val="32"/>
          <w:szCs w:val="32"/>
        </w:rPr>
        <w:t>四川省人大及其常委会认真贯彻落实中央重大决策部署和全国人大</w:t>
      </w:r>
      <w:r>
        <w:rPr>
          <w:rFonts w:hint="eastAsia" w:ascii="仿宋" w:hAnsi="仿宋" w:eastAsia="仿宋" w:cs="仿宋_GB2312"/>
          <w:sz w:val="32"/>
          <w:szCs w:val="32"/>
          <w:lang w:eastAsia="zh-CN"/>
        </w:rPr>
        <w:t>常委会工作</w:t>
      </w:r>
      <w:r>
        <w:rPr>
          <w:rFonts w:hint="eastAsia" w:ascii="仿宋" w:hAnsi="仿宋" w:eastAsia="仿宋" w:cs="仿宋_GB2312"/>
          <w:sz w:val="32"/>
          <w:szCs w:val="32"/>
        </w:rPr>
        <w:t>要求，积极探索建设预算联网审查监督平台，发挥大数据和“互联网+”的信息化优势，实现财政预决算全过程、全口径、全方位、全覆盖的实时监督。</w:t>
      </w:r>
    </w:p>
    <w:p>
      <w:pPr>
        <w:spacing w:line="600" w:lineRule="exact"/>
        <w:ind w:firstLine="660"/>
        <w:rPr>
          <w:rFonts w:ascii="仿宋" w:hAnsi="仿宋" w:eastAsia="仿宋" w:cs="仿宋_GB2312"/>
          <w:sz w:val="32"/>
          <w:szCs w:val="32"/>
        </w:rPr>
      </w:pPr>
      <w:r>
        <w:rPr>
          <w:rFonts w:hint="eastAsia" w:ascii="仿宋" w:hAnsi="仿宋" w:eastAsia="仿宋" w:cs="仿宋_GB2312"/>
          <w:sz w:val="32"/>
          <w:szCs w:val="32"/>
        </w:rPr>
        <w:t>在此背景下，</w:t>
      </w:r>
      <w:r>
        <w:rPr>
          <w:rFonts w:hint="eastAsia" w:ascii="仿宋" w:hAnsi="仿宋" w:eastAsia="仿宋" w:cs="仿宋_GB2312"/>
          <w:sz w:val="32"/>
          <w:szCs w:val="32"/>
          <w:lang w:eastAsia="zh-CN"/>
        </w:rPr>
        <w:t>四川省人大</w:t>
      </w:r>
      <w:r>
        <w:rPr>
          <w:rFonts w:hint="eastAsia" w:ascii="仿宋" w:hAnsi="仿宋" w:eastAsia="仿宋" w:cs="仿宋_GB2312"/>
          <w:sz w:val="32"/>
          <w:szCs w:val="32"/>
        </w:rPr>
        <w:t>常委会</w:t>
      </w:r>
      <w:r>
        <w:rPr>
          <w:rFonts w:hint="eastAsia" w:ascii="仿宋" w:hAnsi="仿宋" w:eastAsia="仿宋" w:cs="仿宋_GB2312"/>
          <w:sz w:val="32"/>
          <w:szCs w:val="32"/>
          <w:lang w:eastAsia="zh-CN"/>
        </w:rPr>
        <w:t>办公厅</w:t>
      </w:r>
      <w:r>
        <w:rPr>
          <w:rFonts w:hint="eastAsia" w:ascii="仿宋" w:hAnsi="仿宋" w:eastAsia="仿宋" w:cs="仿宋_GB2312"/>
          <w:sz w:val="32"/>
          <w:szCs w:val="32"/>
        </w:rPr>
        <w:t>提出了编制《人大预算联网审查监督数据信息提供规范》税务地方标准，规范各级部门信息数据报送工作，建立健全平台系统建设运行所需的相关数据信息，指导省内各级人大预算联网审查监督平台的基础建设工作，实现与本级政府财政、社保、国资、税务和审计等部门的横向联网和上下级人大间的纵向联通，助力人大对政府预算实现全口径审查和全过程监督。</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三、主要工作过程</w:t>
      </w:r>
    </w:p>
    <w:p>
      <w:pPr>
        <w:numPr>
          <w:ilvl w:val="0"/>
          <w:numId w:val="2"/>
        </w:numPr>
        <w:rPr>
          <w:rFonts w:ascii="仿宋" w:hAnsi="仿宋" w:eastAsia="仿宋" w:cs="仿宋_GB2312"/>
          <w:b/>
          <w:sz w:val="32"/>
          <w:szCs w:val="32"/>
        </w:rPr>
      </w:pPr>
      <w:r>
        <w:rPr>
          <w:rFonts w:hint="eastAsia" w:ascii="仿宋" w:hAnsi="仿宋" w:eastAsia="仿宋" w:cs="仿宋_GB2312"/>
          <w:b/>
          <w:sz w:val="32"/>
          <w:szCs w:val="32"/>
        </w:rPr>
        <w:t>成立标准起草组</w:t>
      </w:r>
    </w:p>
    <w:p>
      <w:pPr>
        <w:ind w:left="142" w:firstLine="323" w:firstLineChars="101"/>
        <w:rPr>
          <w:rFonts w:ascii="仿宋" w:hAnsi="仿宋" w:eastAsia="仿宋" w:cs="仿宋_GB2312"/>
          <w:sz w:val="32"/>
          <w:szCs w:val="32"/>
        </w:rPr>
      </w:pPr>
      <w:r>
        <w:rPr>
          <w:rFonts w:hint="eastAsia" w:ascii="仿宋" w:hAnsi="仿宋" w:eastAsia="仿宋" w:cs="仿宋_GB2312"/>
          <w:sz w:val="32"/>
          <w:szCs w:val="32"/>
        </w:rPr>
        <w:t xml:space="preserve">  标准立项后，为加强和推进税务标准编制工作，省人大常委会办公厅牵头组织相关行业部门召开了工作动员部署会，并成立了税务</w:t>
      </w:r>
      <w:r>
        <w:rPr>
          <w:rFonts w:ascii="仿宋" w:hAnsi="仿宋" w:eastAsia="仿宋" w:cs="仿宋_GB2312"/>
          <w:sz w:val="32"/>
          <w:szCs w:val="32"/>
        </w:rPr>
        <w:t>标准起草工作小组（</w:t>
      </w:r>
      <w:r>
        <w:rPr>
          <w:rFonts w:hint="eastAsia" w:ascii="仿宋" w:hAnsi="仿宋" w:eastAsia="仿宋" w:cs="仿宋_GB2312"/>
          <w:sz w:val="32"/>
          <w:szCs w:val="32"/>
        </w:rPr>
        <w:t>以下简称税务标准组</w:t>
      </w:r>
      <w:r>
        <w:rPr>
          <w:rFonts w:ascii="仿宋" w:hAnsi="仿宋" w:eastAsia="仿宋" w:cs="仿宋_GB2312"/>
          <w:sz w:val="32"/>
          <w:szCs w:val="32"/>
        </w:rPr>
        <w:t>）</w:t>
      </w:r>
      <w:r>
        <w:rPr>
          <w:rFonts w:hint="eastAsia" w:ascii="仿宋" w:hAnsi="仿宋" w:eastAsia="仿宋" w:cs="仿宋_GB2312"/>
          <w:sz w:val="32"/>
          <w:szCs w:val="32"/>
        </w:rPr>
        <w:t>，就税务标准编制推进工作做了安排，明确了人员及任务分工。</w:t>
      </w:r>
    </w:p>
    <w:p>
      <w:pPr>
        <w:numPr>
          <w:ilvl w:val="0"/>
          <w:numId w:val="2"/>
        </w:numPr>
        <w:rPr>
          <w:rFonts w:ascii="仿宋" w:hAnsi="仿宋" w:eastAsia="仿宋" w:cs="仿宋_GB2312"/>
          <w:b/>
          <w:sz w:val="32"/>
          <w:szCs w:val="32"/>
        </w:rPr>
      </w:pPr>
      <w:r>
        <w:rPr>
          <w:rFonts w:hint="eastAsia" w:ascii="仿宋" w:hAnsi="仿宋" w:eastAsia="仿宋" w:cs="仿宋_GB2312"/>
          <w:b/>
          <w:sz w:val="32"/>
          <w:szCs w:val="32"/>
        </w:rPr>
        <w:t>调研和资料收集</w:t>
      </w:r>
    </w:p>
    <w:p>
      <w:pPr>
        <w:spacing w:line="360" w:lineRule="auto"/>
        <w:ind w:firstLine="420"/>
        <w:rPr>
          <w:rFonts w:ascii="仿宋" w:hAnsi="仿宋" w:eastAsia="仿宋" w:cs="仿宋_GB2312"/>
          <w:sz w:val="32"/>
          <w:szCs w:val="32"/>
        </w:rPr>
      </w:pPr>
      <w:r>
        <w:rPr>
          <w:rFonts w:hint="eastAsia" w:ascii="仿宋" w:hAnsi="仿宋" w:eastAsia="仿宋" w:cs="仿宋_GB2312"/>
          <w:sz w:val="32"/>
          <w:szCs w:val="32"/>
        </w:rPr>
        <w:t xml:space="preserve">  2019年9月至10</w:t>
      </w:r>
      <w:r>
        <w:rPr>
          <w:rFonts w:ascii="仿宋" w:hAnsi="仿宋" w:eastAsia="仿宋" w:cs="仿宋_GB2312"/>
          <w:sz w:val="32"/>
          <w:szCs w:val="32"/>
        </w:rPr>
        <w:t>月</w:t>
      </w:r>
      <w:r>
        <w:rPr>
          <w:rFonts w:hint="eastAsia" w:ascii="仿宋" w:hAnsi="仿宋" w:eastAsia="仿宋" w:cs="仿宋_GB2312"/>
          <w:sz w:val="32"/>
          <w:szCs w:val="32"/>
        </w:rPr>
        <w:t>，税务标准组多次前往省税务局调研，了解税务工作内容和税收收入管理平台，并收集梳理了税务相关的法律法规、政策文件和相关工作资料信息，为标准文本的编制做了充分准备。</w:t>
      </w:r>
    </w:p>
    <w:p>
      <w:pPr>
        <w:numPr>
          <w:ilvl w:val="0"/>
          <w:numId w:val="2"/>
        </w:numPr>
        <w:spacing w:line="360" w:lineRule="auto"/>
        <w:rPr>
          <w:rFonts w:ascii="仿宋" w:hAnsi="仿宋" w:eastAsia="仿宋" w:cs="仿宋_GB2312"/>
          <w:b/>
          <w:sz w:val="32"/>
          <w:szCs w:val="32"/>
        </w:rPr>
      </w:pPr>
      <w:r>
        <w:rPr>
          <w:rFonts w:hint="eastAsia" w:ascii="仿宋" w:hAnsi="仿宋" w:eastAsia="仿宋" w:cs="仿宋_GB2312"/>
          <w:b/>
          <w:sz w:val="32"/>
          <w:szCs w:val="32"/>
        </w:rPr>
        <w:t>税务标准框架搭建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2019年11月，在消化吸收前期实地调研资料的基础上，税务标准组着手搭建了标准框架草案。</w:t>
      </w:r>
    </w:p>
    <w:p>
      <w:pPr>
        <w:numPr>
          <w:ilvl w:val="0"/>
          <w:numId w:val="2"/>
        </w:numPr>
        <w:rPr>
          <w:rFonts w:ascii="仿宋" w:hAnsi="仿宋" w:eastAsia="仿宋" w:cs="仿宋_GB2312"/>
          <w:b/>
          <w:sz w:val="32"/>
          <w:szCs w:val="32"/>
        </w:rPr>
      </w:pPr>
      <w:r>
        <w:rPr>
          <w:rFonts w:hint="eastAsia" w:ascii="仿宋" w:hAnsi="仿宋" w:eastAsia="仿宋" w:cs="仿宋_GB2312"/>
          <w:b/>
          <w:sz w:val="32"/>
          <w:szCs w:val="32"/>
        </w:rPr>
        <w:t>标准草案编制</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2019年12</w:t>
      </w:r>
      <w:r>
        <w:rPr>
          <w:rFonts w:ascii="仿宋" w:hAnsi="仿宋" w:eastAsia="仿宋" w:cs="仿宋_GB2312"/>
          <w:sz w:val="32"/>
          <w:szCs w:val="32"/>
        </w:rPr>
        <w:t>月</w:t>
      </w:r>
      <w:r>
        <w:rPr>
          <w:rFonts w:hint="eastAsia" w:ascii="仿宋" w:hAnsi="仿宋" w:eastAsia="仿宋" w:cs="仿宋_GB2312"/>
          <w:sz w:val="32"/>
          <w:szCs w:val="32"/>
        </w:rPr>
        <w:t>至2020年3月，</w:t>
      </w:r>
      <w:r>
        <w:rPr>
          <w:rFonts w:ascii="仿宋" w:hAnsi="仿宋" w:eastAsia="仿宋" w:cs="仿宋_GB2312"/>
          <w:sz w:val="32"/>
          <w:szCs w:val="32"/>
        </w:rPr>
        <w:t>通过与人大</w:t>
      </w:r>
      <w:r>
        <w:rPr>
          <w:rFonts w:hint="eastAsia" w:ascii="仿宋" w:hAnsi="仿宋" w:eastAsia="仿宋" w:cs="仿宋_GB2312"/>
          <w:sz w:val="32"/>
          <w:szCs w:val="32"/>
        </w:rPr>
        <w:t>、税务多次讨论、修改税务数据信息提供标准草案的基础上，形成了税务标准工作组讨论稿。</w:t>
      </w:r>
    </w:p>
    <w:p>
      <w:pPr>
        <w:numPr>
          <w:ilvl w:val="0"/>
          <w:numId w:val="2"/>
        </w:numPr>
        <w:rPr>
          <w:rFonts w:ascii="仿宋" w:hAnsi="仿宋" w:eastAsia="仿宋" w:cs="仿宋_GB2312"/>
          <w:b/>
          <w:sz w:val="32"/>
          <w:szCs w:val="32"/>
        </w:rPr>
      </w:pPr>
      <w:r>
        <w:rPr>
          <w:rFonts w:hint="eastAsia" w:ascii="仿宋" w:hAnsi="仿宋" w:eastAsia="仿宋" w:cs="仿宋_GB2312"/>
          <w:b/>
          <w:sz w:val="32"/>
          <w:szCs w:val="32"/>
        </w:rPr>
        <w:t>征求意见稿编制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2020年4月-5月，税务标准组就标准草案与人大进行讨论、修改，形成标准征求意见稿第1稿。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6月30</w:t>
      </w:r>
      <w:r>
        <w:rPr>
          <w:rFonts w:hint="eastAsia" w:ascii="仿宋" w:hAnsi="仿宋" w:eastAsia="仿宋" w:cs="仿宋_GB2312"/>
          <w:sz w:val="32"/>
          <w:szCs w:val="32"/>
          <w:lang w:val="en-US" w:eastAsia="zh-CN"/>
        </w:rPr>
        <w:t>日</w:t>
      </w:r>
      <w:r>
        <w:rPr>
          <w:rFonts w:hint="eastAsia" w:ascii="仿宋" w:hAnsi="仿宋" w:eastAsia="仿宋" w:cs="仿宋_GB2312"/>
          <w:sz w:val="32"/>
          <w:szCs w:val="32"/>
        </w:rPr>
        <w:t>-7月2日，由省人大预工委组织行业部门、部分市州人大召开了标准研讨会，会上市州人大专家对标准提出了相应意见。会后，经标准编制技术组整理，共收集意见23  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7月17日，省人大预工委、省标院的标准编制人员就23条意见和工作建议进行了研讨，确定采纳8条，部分采纳1条，未采纳14条。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7月28日，标准编制技术组向省人大预工委领导报告了标准意见采纳研讨情况，经集体研究讨论明确了根据相关意见对标准内容的修改。8月底，形成了标准征求意见稿终稿。</w:t>
      </w:r>
    </w:p>
    <w:p>
      <w:pPr>
        <w:spacing w:line="600" w:lineRule="exact"/>
        <w:ind w:firstLine="602" w:firstLineChars="200"/>
        <w:rPr>
          <w:rFonts w:ascii="仿宋" w:hAnsi="仿宋" w:eastAsia="仿宋" w:cs="仿宋_GB2312"/>
          <w:b/>
          <w:bCs/>
          <w:sz w:val="30"/>
          <w:szCs w:val="30"/>
        </w:rPr>
      </w:pPr>
      <w:r>
        <w:rPr>
          <w:rFonts w:hint="eastAsia" w:ascii="仿宋" w:hAnsi="仿宋" w:eastAsia="仿宋" w:cs="仿宋_GB2312"/>
          <w:b/>
          <w:bCs/>
          <w:sz w:val="30"/>
          <w:szCs w:val="30"/>
        </w:rPr>
        <w:t>四、</w:t>
      </w:r>
      <w:r>
        <w:rPr>
          <w:rFonts w:hint="eastAsia" w:ascii="仿宋" w:hAnsi="仿宋" w:eastAsia="仿宋" w:cs="仿宋_GB2312"/>
          <w:b/>
          <w:bCs/>
          <w:sz w:val="32"/>
          <w:szCs w:val="32"/>
        </w:rPr>
        <w:t>标准编制原则</w:t>
      </w:r>
    </w:p>
    <w:p>
      <w:pPr>
        <w:spacing w:line="600" w:lineRule="exact"/>
        <w:ind w:firstLine="640" w:firstLineChars="200"/>
        <w:rPr>
          <w:rFonts w:ascii="仿宋" w:hAnsi="仿宋" w:eastAsia="仿宋" w:cs="仿宋_GB2312"/>
          <w:b/>
          <w:bCs/>
          <w:sz w:val="30"/>
          <w:szCs w:val="30"/>
        </w:rPr>
      </w:pPr>
      <w:r>
        <w:rPr>
          <w:rFonts w:hint="eastAsia" w:ascii="仿宋" w:hAnsi="仿宋" w:eastAsia="仿宋" w:cs="仿宋_GB2312"/>
          <w:sz w:val="32"/>
          <w:szCs w:val="32"/>
        </w:rPr>
        <w:t>按照《标准化法》以及标准编写相关要求，税务标准内容必须遵从国家法律法规，不能与相关法律法规、政策性文件等冲突，标准起草过程中，税务标准组进行了深入学习，确保了税务标准文本的可实施性以及与文件的一致性。</w:t>
      </w:r>
    </w:p>
    <w:p>
      <w:pPr>
        <w:spacing w:line="600" w:lineRule="exact"/>
        <w:rPr>
          <w:rFonts w:ascii="仿宋" w:hAnsi="仿宋" w:eastAsia="仿宋" w:cs="仿宋_GB2312"/>
          <w:sz w:val="32"/>
          <w:szCs w:val="32"/>
        </w:rPr>
      </w:pPr>
      <w:r>
        <w:rPr>
          <w:rFonts w:hint="eastAsia" w:ascii="仿宋" w:hAnsi="仿宋" w:eastAsia="仿宋" w:cs="仿宋_GB2312"/>
          <w:bCs/>
          <w:sz w:val="32"/>
          <w:szCs w:val="32"/>
        </w:rPr>
        <w:t xml:space="preserve">    1、</w:t>
      </w:r>
      <w:r>
        <w:rPr>
          <w:rFonts w:hint="eastAsia" w:ascii="仿宋" w:hAnsi="仿宋" w:eastAsia="仿宋" w:cs="仿宋_GB2312"/>
          <w:sz w:val="32"/>
          <w:szCs w:val="32"/>
        </w:rPr>
        <w:t>《中华人民共和国宪法》</w:t>
      </w:r>
    </w:p>
    <w:p>
      <w:pPr>
        <w:spacing w:line="600" w:lineRule="exact"/>
        <w:rPr>
          <w:rFonts w:ascii="仿宋" w:hAnsi="仿宋" w:eastAsia="仿宋" w:cs="仿宋_GB2312"/>
          <w:sz w:val="32"/>
          <w:szCs w:val="32"/>
        </w:rPr>
      </w:pPr>
      <w:r>
        <w:rPr>
          <w:rFonts w:hint="eastAsia" w:ascii="仿宋" w:hAnsi="仿宋" w:eastAsia="仿宋" w:cs="仿宋_GB2312"/>
          <w:sz w:val="32"/>
          <w:szCs w:val="32"/>
        </w:rPr>
        <w:t xml:space="preserve">    2、《中华人民共和国</w:t>
      </w:r>
      <w:r>
        <w:rPr>
          <w:rFonts w:hint="eastAsia" w:ascii="仿宋" w:hAnsi="仿宋" w:eastAsia="仿宋" w:cs="仿宋_GB2312"/>
          <w:sz w:val="32"/>
          <w:szCs w:val="32"/>
          <w:lang w:eastAsia="zh-CN"/>
        </w:rPr>
        <w:t>各级人民</w:t>
      </w:r>
      <w:r>
        <w:rPr>
          <w:rFonts w:hint="eastAsia" w:ascii="仿宋" w:hAnsi="仿宋" w:eastAsia="仿宋" w:cs="仿宋_GB2312"/>
          <w:sz w:val="32"/>
          <w:szCs w:val="32"/>
        </w:rPr>
        <w:t>代表大会常务委员会监督法》</w:t>
      </w:r>
    </w:p>
    <w:p>
      <w:pPr>
        <w:spacing w:line="600" w:lineRule="exact"/>
        <w:rPr>
          <w:rFonts w:ascii="仿宋" w:hAnsi="仿宋" w:eastAsia="仿宋" w:cs="仿宋_GB2312"/>
          <w:sz w:val="32"/>
          <w:szCs w:val="32"/>
        </w:rPr>
      </w:pPr>
      <w:r>
        <w:rPr>
          <w:rFonts w:hint="eastAsia" w:ascii="仿宋" w:hAnsi="仿宋" w:eastAsia="仿宋" w:cs="仿宋_GB2312"/>
          <w:sz w:val="32"/>
          <w:szCs w:val="32"/>
        </w:rPr>
        <w:t xml:space="preserve">    3、《中华人民共和国税收征收管理法》</w:t>
      </w:r>
    </w:p>
    <w:p>
      <w:pPr>
        <w:spacing w:line="600" w:lineRule="exact"/>
        <w:rPr>
          <w:rFonts w:ascii="仿宋" w:hAnsi="仿宋" w:eastAsia="仿宋" w:cs="仿宋_GB2312"/>
          <w:sz w:val="32"/>
          <w:szCs w:val="32"/>
        </w:rPr>
      </w:pPr>
      <w:r>
        <w:rPr>
          <w:rFonts w:hint="eastAsia" w:ascii="仿宋" w:hAnsi="仿宋" w:eastAsia="仿宋" w:cs="仿宋_GB2312"/>
          <w:sz w:val="32"/>
          <w:szCs w:val="32"/>
        </w:rPr>
        <w:t xml:space="preserve">    4、《增值税暂行条例》 </w:t>
      </w:r>
    </w:p>
    <w:p>
      <w:pPr>
        <w:spacing w:line="600" w:lineRule="exact"/>
        <w:rPr>
          <w:rFonts w:ascii="仿宋" w:hAnsi="仿宋" w:eastAsia="仿宋" w:cs="仿宋_GB2312"/>
          <w:sz w:val="32"/>
          <w:szCs w:val="32"/>
        </w:rPr>
      </w:pPr>
      <w:r>
        <w:rPr>
          <w:rFonts w:hint="eastAsia" w:ascii="仿宋" w:hAnsi="仿宋" w:eastAsia="仿宋" w:cs="仿宋_GB2312"/>
          <w:sz w:val="32"/>
          <w:szCs w:val="32"/>
        </w:rPr>
        <w:t xml:space="preserve">    5、《增值税暂行条例实施细则》</w:t>
      </w:r>
    </w:p>
    <w:p>
      <w:pPr>
        <w:spacing w:line="600" w:lineRule="exact"/>
        <w:rPr>
          <w:rFonts w:ascii="仿宋" w:hAnsi="仿宋" w:eastAsia="仿宋" w:cs="仿宋_GB2312"/>
          <w:sz w:val="32"/>
          <w:szCs w:val="32"/>
        </w:rPr>
      </w:pPr>
      <w:r>
        <w:rPr>
          <w:rFonts w:hint="eastAsia" w:ascii="仿宋" w:hAnsi="仿宋" w:eastAsia="仿宋" w:cs="仿宋_GB2312"/>
          <w:sz w:val="32"/>
          <w:szCs w:val="32"/>
        </w:rPr>
        <w:t xml:space="preserve">    6、《中华人民共和国消费税暂行条例》</w:t>
      </w:r>
    </w:p>
    <w:p>
      <w:pPr>
        <w:spacing w:line="600" w:lineRule="exact"/>
        <w:rPr>
          <w:rFonts w:ascii="仿宋" w:hAnsi="仿宋" w:eastAsia="仿宋" w:cs="仿宋_GB2312"/>
          <w:sz w:val="32"/>
          <w:szCs w:val="32"/>
        </w:rPr>
      </w:pPr>
      <w:r>
        <w:rPr>
          <w:rFonts w:hint="eastAsia" w:ascii="仿宋" w:hAnsi="仿宋" w:eastAsia="仿宋" w:cs="仿宋_GB2312"/>
          <w:sz w:val="32"/>
          <w:szCs w:val="32"/>
        </w:rPr>
        <w:t xml:space="preserve">    7、《中华人民共和国消费税暂行条例实施细则》</w:t>
      </w:r>
    </w:p>
    <w:p>
      <w:pPr>
        <w:spacing w:line="600" w:lineRule="exact"/>
        <w:rPr>
          <w:rFonts w:ascii="仿宋" w:hAnsi="仿宋" w:eastAsia="仿宋" w:cs="仿宋_GB2312"/>
          <w:sz w:val="32"/>
          <w:szCs w:val="32"/>
        </w:rPr>
      </w:pPr>
      <w:r>
        <w:rPr>
          <w:rFonts w:hint="eastAsia" w:ascii="仿宋" w:hAnsi="仿宋" w:eastAsia="仿宋" w:cs="仿宋_GB2312"/>
          <w:sz w:val="32"/>
          <w:szCs w:val="32"/>
        </w:rPr>
        <w:t xml:space="preserve">    8、《中华人民共和国企业所得税法》</w:t>
      </w:r>
    </w:p>
    <w:p>
      <w:pPr>
        <w:spacing w:line="600" w:lineRule="exact"/>
        <w:rPr>
          <w:rFonts w:ascii="仿宋" w:hAnsi="仿宋" w:eastAsia="仿宋" w:cs="仿宋_GB2312"/>
          <w:sz w:val="32"/>
          <w:szCs w:val="32"/>
        </w:rPr>
      </w:pPr>
      <w:r>
        <w:rPr>
          <w:rFonts w:hint="eastAsia" w:ascii="仿宋" w:hAnsi="仿宋" w:eastAsia="仿宋" w:cs="仿宋_GB2312"/>
          <w:sz w:val="32"/>
          <w:szCs w:val="32"/>
        </w:rPr>
        <w:t xml:space="preserve">    9、《中华人民共和国企业所得税法实施条例》</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10、《中华人民共和国个人所得税法》等</w:t>
      </w:r>
    </w:p>
    <w:p>
      <w:pPr>
        <w:spacing w:line="600" w:lineRule="exact"/>
        <w:ind w:firstLine="640"/>
        <w:rPr>
          <w:rFonts w:ascii="仿宋" w:hAnsi="仿宋" w:eastAsia="仿宋" w:cs="仿宋_GB2312"/>
          <w:sz w:val="32"/>
          <w:szCs w:val="32"/>
        </w:rPr>
      </w:pPr>
      <w:r>
        <w:rPr>
          <w:rFonts w:hint="eastAsia" w:ascii="仿宋" w:hAnsi="仿宋" w:eastAsia="仿宋" w:cs="仿宋_GB2312"/>
          <w:sz w:val="32"/>
          <w:szCs w:val="32"/>
        </w:rPr>
        <w:t>11、中共中央办公厅、国务院办公厅印发《国税地税征管体制改革方案》</w:t>
      </w:r>
    </w:p>
    <w:p>
      <w:pPr>
        <w:spacing w:line="600" w:lineRule="exact"/>
        <w:ind w:firstLine="640"/>
        <w:rPr>
          <w:rFonts w:ascii="仿宋" w:hAnsi="仿宋" w:eastAsia="仿宋" w:cs="仿宋_GB2312"/>
          <w:sz w:val="32"/>
          <w:szCs w:val="32"/>
        </w:rPr>
      </w:pPr>
      <w:r>
        <w:rPr>
          <w:rFonts w:hint="eastAsia" w:ascii="仿宋" w:hAnsi="仿宋" w:eastAsia="仿宋" w:cs="仿宋_GB2312"/>
          <w:sz w:val="32"/>
          <w:szCs w:val="32"/>
        </w:rPr>
        <w:t>12、</w:t>
      </w:r>
      <w:r>
        <w:rPr>
          <w:rFonts w:hint="eastAsia" w:ascii="仿宋" w:hAnsi="仿宋" w:eastAsia="仿宋" w:cs="仿宋_GB2312"/>
          <w:sz w:val="32"/>
          <w:szCs w:val="32"/>
          <w:lang w:eastAsia="zh-CN"/>
        </w:rPr>
        <w:t>财政部</w:t>
      </w:r>
      <w:r>
        <w:rPr>
          <w:rFonts w:hint="eastAsia" w:ascii="仿宋" w:hAnsi="仿宋" w:eastAsia="仿宋" w:cs="仿宋_GB2312"/>
          <w:sz w:val="32"/>
          <w:szCs w:val="32"/>
        </w:rPr>
        <w:t>《关于将国家重大水利工程建设基金等政府非税收入项划转税务部门征收的通知》</w:t>
      </w:r>
    </w:p>
    <w:p>
      <w:pPr>
        <w:spacing w:line="600" w:lineRule="exact"/>
        <w:ind w:firstLine="640"/>
        <w:rPr>
          <w:rFonts w:hint="eastAsia" w:ascii="仿宋" w:hAnsi="仿宋" w:eastAsia="仿宋" w:cs="仿宋_GB2312"/>
          <w:sz w:val="32"/>
          <w:szCs w:val="32"/>
        </w:rPr>
      </w:pPr>
      <w:r>
        <w:rPr>
          <w:rFonts w:hint="eastAsia" w:ascii="仿宋" w:hAnsi="仿宋" w:eastAsia="仿宋" w:cs="仿宋_GB2312"/>
          <w:sz w:val="32"/>
          <w:szCs w:val="32"/>
        </w:rPr>
        <w:t>13、中共中央办公厅</w:t>
      </w:r>
      <w:r>
        <w:rPr>
          <w:rFonts w:hint="eastAsia" w:ascii="仿宋" w:hAnsi="仿宋" w:eastAsia="仿宋" w:cs="仿宋_GB2312"/>
          <w:sz w:val="32"/>
          <w:szCs w:val="32"/>
          <w:lang w:eastAsia="zh-CN"/>
        </w:rPr>
        <w:t>印发</w:t>
      </w:r>
      <w:r>
        <w:rPr>
          <w:rFonts w:hint="eastAsia" w:ascii="仿宋" w:hAnsi="仿宋" w:eastAsia="仿宋" w:cs="仿宋_GB2312"/>
          <w:sz w:val="32"/>
          <w:szCs w:val="32"/>
        </w:rPr>
        <w:t>《关于人大预算审查监督重点向支出预算和政策拓展的指导意见》</w:t>
      </w:r>
    </w:p>
    <w:p>
      <w:pPr>
        <w:spacing w:line="600" w:lineRule="exact"/>
        <w:ind w:firstLine="640"/>
        <w:rPr>
          <w:rFonts w:hint="eastAsia" w:ascii="仿宋" w:hAnsi="仿宋" w:eastAsia="仿宋" w:cs="仿宋_GB2312"/>
          <w:sz w:val="32"/>
          <w:szCs w:val="32"/>
        </w:rPr>
      </w:pPr>
      <w:r>
        <w:rPr>
          <w:rFonts w:hint="eastAsia" w:ascii="仿宋" w:hAnsi="仿宋" w:eastAsia="仿宋" w:cs="仿宋_GB2312"/>
          <w:sz w:val="32"/>
          <w:szCs w:val="32"/>
        </w:rPr>
        <w:t>14、全国人</w:t>
      </w:r>
      <w:r>
        <w:rPr>
          <w:rFonts w:hint="eastAsia" w:ascii="仿宋" w:hAnsi="仿宋" w:eastAsia="仿宋" w:cs="仿宋_GB2312"/>
          <w:sz w:val="32"/>
          <w:szCs w:val="32"/>
          <w:lang w:eastAsia="zh-CN"/>
        </w:rPr>
        <w:t>大常委员会办公厅</w:t>
      </w:r>
      <w:r>
        <w:rPr>
          <w:rFonts w:hint="eastAsia" w:ascii="仿宋" w:hAnsi="仿宋" w:eastAsia="仿宋" w:cs="仿宋_GB2312"/>
          <w:sz w:val="32"/>
          <w:szCs w:val="32"/>
        </w:rPr>
        <w:t>《关于推进地方人大预算联网监督工作的指导意见》</w:t>
      </w:r>
    </w:p>
    <w:p>
      <w:pPr>
        <w:spacing w:line="600" w:lineRule="exact"/>
        <w:ind w:firstLine="640"/>
        <w:rPr>
          <w:rFonts w:ascii="仿宋" w:hAnsi="仿宋" w:eastAsia="仿宋" w:cs="仿宋_GB2312"/>
          <w:b/>
          <w:bCs/>
          <w:sz w:val="32"/>
          <w:szCs w:val="32"/>
        </w:rPr>
      </w:pPr>
      <w:r>
        <w:rPr>
          <w:rFonts w:hint="eastAsia" w:ascii="仿宋" w:hAnsi="仿宋" w:eastAsia="仿宋" w:cs="仿宋_GB2312"/>
          <w:sz w:val="32"/>
          <w:szCs w:val="32"/>
        </w:rPr>
        <w:t>15、全国人民代表大会常务委员会预算工作委员会</w:t>
      </w:r>
      <w:r>
        <w:rPr>
          <w:rFonts w:hint="eastAsia" w:ascii="仿宋" w:hAnsi="仿宋" w:eastAsia="仿宋" w:cs="仿宋_GB2312"/>
          <w:sz w:val="32"/>
          <w:szCs w:val="32"/>
        </w:rPr>
        <w:t>《关于推进地方人大预算联网监督系统建设工作的通知》等。</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五、编制依据</w:t>
      </w:r>
    </w:p>
    <w:p>
      <w:pPr>
        <w:spacing w:line="600" w:lineRule="exact"/>
        <w:ind w:firstLine="640" w:firstLineChars="200"/>
        <w:rPr>
          <w:rFonts w:ascii="仿宋" w:hAnsi="仿宋" w:eastAsia="仿宋" w:cs="Times New Roman"/>
          <w:sz w:val="24"/>
          <w:szCs w:val="24"/>
        </w:rPr>
      </w:pPr>
      <w:r>
        <w:rPr>
          <w:rFonts w:hint="eastAsia" w:ascii="仿宋" w:hAnsi="仿宋" w:eastAsia="仿宋" w:cs="仿宋_GB2312"/>
          <w:sz w:val="32"/>
          <w:szCs w:val="32"/>
        </w:rPr>
        <w:t>本标准严格按照</w:t>
      </w:r>
      <w:r>
        <w:rPr>
          <w:rFonts w:ascii="仿宋" w:hAnsi="仿宋" w:eastAsia="仿宋" w:cs="仿宋_GB2312"/>
          <w:sz w:val="32"/>
          <w:szCs w:val="32"/>
        </w:rPr>
        <w:t>GB/T1.1-2009</w:t>
      </w:r>
      <w:r>
        <w:rPr>
          <w:rFonts w:hint="eastAsia" w:ascii="仿宋" w:hAnsi="仿宋" w:eastAsia="仿宋" w:cs="仿宋_GB2312"/>
          <w:sz w:val="32"/>
          <w:szCs w:val="32"/>
        </w:rPr>
        <w:t>《标准化工作导则第</w:t>
      </w:r>
      <w:r>
        <w:rPr>
          <w:rFonts w:ascii="仿宋" w:hAnsi="仿宋" w:eastAsia="仿宋" w:cs="仿宋_GB2312"/>
          <w:sz w:val="32"/>
          <w:szCs w:val="32"/>
        </w:rPr>
        <w:t>1</w:t>
      </w:r>
      <w:r>
        <w:rPr>
          <w:rFonts w:hint="eastAsia" w:ascii="仿宋" w:hAnsi="仿宋" w:eastAsia="仿宋" w:cs="仿宋_GB2312"/>
          <w:sz w:val="32"/>
          <w:szCs w:val="32"/>
        </w:rPr>
        <w:t>部分：标准的结构和编写》进行编写与表述</w:t>
      </w:r>
      <w:r>
        <w:rPr>
          <w:rFonts w:hint="eastAsia" w:ascii="仿宋" w:hAnsi="仿宋" w:eastAsia="仿宋" w:cs="仿宋_GB2312"/>
          <w:sz w:val="24"/>
          <w:szCs w:val="24"/>
        </w:rPr>
        <w:t>。</w:t>
      </w:r>
    </w:p>
    <w:p>
      <w:pPr>
        <w:spacing w:line="600" w:lineRule="exact"/>
        <w:ind w:firstLine="602" w:firstLineChars="200"/>
        <w:rPr>
          <w:rFonts w:ascii="仿宋" w:hAnsi="仿宋" w:eastAsia="仿宋" w:cs="仿宋_GB2312"/>
          <w:b/>
          <w:bCs/>
          <w:sz w:val="30"/>
          <w:szCs w:val="30"/>
        </w:rPr>
      </w:pPr>
      <w:r>
        <w:rPr>
          <w:rFonts w:hint="eastAsia" w:ascii="仿宋" w:hAnsi="仿宋" w:eastAsia="仿宋" w:cs="仿宋_GB2312"/>
          <w:b/>
          <w:bCs/>
          <w:sz w:val="30"/>
          <w:szCs w:val="30"/>
        </w:rPr>
        <w:t>六、</w:t>
      </w:r>
      <w:r>
        <w:rPr>
          <w:rFonts w:hint="eastAsia" w:ascii="仿宋" w:hAnsi="仿宋" w:eastAsia="仿宋" w:cs="仿宋_GB2312"/>
          <w:b/>
          <w:bCs/>
          <w:sz w:val="32"/>
          <w:szCs w:val="32"/>
        </w:rPr>
        <w:t>主要内容</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（一）术语和定义</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本章根据相关法律条例，结合实地调研情况，给出了税务部门面向人大预算联网审查监督平台提供税务相关数据信息内容时所涉及的相关术语及其定义。</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（二）基本原则</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本章主要依据相关法律、法规、制度、规范性文件等，按照向人大预算审查监督平台提供税务相关数据信息工作的实际需要，明确了我省税务部门提供税务数据信息的基本原则。</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（三）基本要求</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本章在对税务部门进行充分调研的基础之上，确定了我省税务部门向人大预算审查监督平台提供税务相关数据信息的内容、频率、时间、格式和路径。  </w:t>
      </w:r>
    </w:p>
    <w:p>
      <w:pPr>
        <w:numPr>
          <w:ilvl w:val="0"/>
          <w:numId w:val="3"/>
        </w:numPr>
        <w:spacing w:line="60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数据信息提供范围</w:t>
      </w:r>
    </w:p>
    <w:p>
      <w:pPr>
        <w:spacing w:line="600" w:lineRule="exact"/>
        <w:rPr>
          <w:rFonts w:ascii="仿宋" w:hAnsi="仿宋" w:eastAsia="仿宋" w:cs="仿宋_GB2312"/>
          <w:bCs/>
          <w:sz w:val="32"/>
          <w:szCs w:val="32"/>
        </w:rPr>
      </w:pPr>
      <w:r>
        <w:rPr>
          <w:rFonts w:hint="eastAsia" w:ascii="仿宋" w:hAnsi="仿宋" w:eastAsia="仿宋" w:cs="仿宋_GB2312"/>
          <w:bCs/>
          <w:sz w:val="32"/>
          <w:szCs w:val="32"/>
        </w:rPr>
        <w:t xml:space="preserve">    本章规定了</w:t>
      </w:r>
      <w:r>
        <w:rPr>
          <w:rFonts w:hint="eastAsia" w:ascii="仿宋" w:hAnsi="仿宋" w:eastAsia="仿宋" w:cs="仿宋_GB2312"/>
          <w:sz w:val="32"/>
          <w:szCs w:val="32"/>
        </w:rPr>
        <w:t>税务部门向人大预算审查监督平台提供数据信息的范围。</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sz w:val="32"/>
          <w:szCs w:val="32"/>
        </w:rPr>
        <w:t>（五）数据信息</w:t>
      </w:r>
      <w:r>
        <w:rPr>
          <w:rFonts w:hint="eastAsia" w:ascii="仿宋" w:hAnsi="仿宋" w:eastAsia="仿宋" w:cs="仿宋_GB2312"/>
          <w:b/>
          <w:bCs/>
          <w:sz w:val="32"/>
          <w:szCs w:val="32"/>
        </w:rPr>
        <w:t>分类</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规范化、标准化提供税务数据信息，税务标准组结合我省实际情况，将提供的税务数据信息分为两类：资料性数据信息和业务数据信息。前者主要包括：税收工作动态、简报，税收分析材料，税收工作重要会议、调研资料，税改最新政策情况的及时报送等。后者主要包括：税务部门税收收入数据信息，出口退税数据信息、税务代征非税收入数据信息、税务代征社会保险费收入数据信息以及海关代征数据信息。</w:t>
      </w:r>
    </w:p>
    <w:p>
      <w:pPr>
        <w:spacing w:line="60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（六）数据信息提供要求</w:t>
      </w:r>
    </w:p>
    <w:p>
      <w:pPr>
        <w:numPr>
          <w:ilvl w:val="0"/>
          <w:numId w:val="4"/>
        </w:numPr>
        <w:spacing w:line="600" w:lineRule="exact"/>
        <w:rPr>
          <w:rFonts w:ascii="仿宋" w:hAnsi="仿宋" w:eastAsia="仿宋" w:cs="仿宋_GB2312"/>
          <w:b/>
          <w:sz w:val="32"/>
          <w:szCs w:val="32"/>
        </w:rPr>
      </w:pPr>
      <w:r>
        <w:rPr>
          <w:rFonts w:hint="eastAsia" w:ascii="仿宋" w:hAnsi="仿宋" w:eastAsia="仿宋" w:cs="仿宋_GB2312"/>
          <w:b/>
          <w:sz w:val="32"/>
          <w:szCs w:val="32"/>
        </w:rPr>
        <w:t>资料性数据信息</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资料性数据信息，是人大及时了解掌握相关业务部门动态以及重大变革的第一手资料，便于人大审查监督范围及方向的及时调整。本章明确和规范了资料性数据信息报送的项目、范围、频率、截止时间。</w:t>
      </w:r>
    </w:p>
    <w:p>
      <w:pPr>
        <w:numPr>
          <w:ilvl w:val="0"/>
          <w:numId w:val="4"/>
        </w:numPr>
        <w:spacing w:line="600" w:lineRule="exact"/>
        <w:rPr>
          <w:rFonts w:ascii="仿宋" w:hAnsi="仿宋" w:eastAsia="仿宋" w:cs="仿宋_GB2312"/>
          <w:b/>
          <w:sz w:val="32"/>
          <w:szCs w:val="32"/>
        </w:rPr>
      </w:pPr>
      <w:r>
        <w:rPr>
          <w:rFonts w:hint="eastAsia" w:ascii="仿宋" w:hAnsi="仿宋" w:eastAsia="仿宋" w:cs="仿宋_GB2312"/>
          <w:b/>
          <w:sz w:val="32"/>
          <w:szCs w:val="32"/>
        </w:rPr>
        <w:t>业务数据信息</w:t>
      </w:r>
    </w:p>
    <w:p>
      <w:pPr>
        <w:spacing w:line="600" w:lineRule="exact"/>
        <w:ind w:left="901"/>
        <w:rPr>
          <w:rFonts w:ascii="仿宋" w:hAnsi="仿宋" w:eastAsia="仿宋" w:cs="仿宋_GB2312"/>
          <w:b/>
          <w:sz w:val="32"/>
          <w:szCs w:val="32"/>
        </w:rPr>
      </w:pPr>
      <w:r>
        <w:rPr>
          <w:rFonts w:hint="eastAsia" w:ascii="仿宋" w:hAnsi="仿宋" w:eastAsia="仿宋" w:cs="仿宋_GB2312"/>
          <w:b/>
          <w:sz w:val="32"/>
          <w:szCs w:val="32"/>
        </w:rPr>
        <w:t>1）税务部门税收收入数据信息</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目前，按照我国税收征收范围划分，税务部门征收的税种主要包括了国内增值税、国内消费税、企业所得税、个人所得税、资源税、烟叶税、城维税、房产税、印花税、土地使用税、土地增值税、车船税、车辆购置税、耕地占用税、契税、环境保护税等税种。根据国务院关于实行分税制财政管理体制的规定，我国税收收入级次又分为中央、地方政府的固定收入和中央、地方政府的共享收入。本章按照税务部门各税种征收情况，分税种、分级次、分地区、分产业、分行业进行了税收收入数据统计。并依据《增值税暂行条例》《增值税暂行条例实施细则》《消费税暂行条例》《消费税暂行条例实施细则》《企业所得税法》《企业所得税法实施条例》《个人所得税法》的规定，对国内增值税、国内消费税、个人所得税和企业所得税等四项重点税种，进行了细分项目的税收收入数据统计，包含了当月的收入、同比增速（%）、增减额以及累计从当年1月开始的收入、同比增速（%）、增减额、中央级税收、省级税收以及省以下级（包括了市级和县级）税收收入数据情况。还明确和规范了对相关数据信息报送的适用范围、频率、时间。</w:t>
      </w:r>
    </w:p>
    <w:p>
      <w:pPr>
        <w:spacing w:line="600" w:lineRule="exact"/>
        <w:ind w:left="901"/>
        <w:rPr>
          <w:rFonts w:ascii="仿宋" w:hAnsi="仿宋" w:eastAsia="仿宋" w:cs="仿宋_GB2312"/>
          <w:b/>
          <w:sz w:val="32"/>
          <w:szCs w:val="32"/>
        </w:rPr>
      </w:pPr>
      <w:r>
        <w:rPr>
          <w:rFonts w:hint="eastAsia" w:ascii="仿宋" w:hAnsi="仿宋" w:eastAsia="仿宋" w:cs="仿宋_GB2312"/>
          <w:b/>
          <w:sz w:val="32"/>
          <w:szCs w:val="32"/>
        </w:rPr>
        <w:t>2）出口退税数据信息</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章内容包括：当月出口退税的收入、同比增速（%）、增减额以及累计从当年1月开始的收入、同比增速（%）、增减额、中央级税收、省级税收以及省以下级税收收入数据，并明确和规范了对出口退税数据信息报送的适用范围、频率、时间。</w:t>
      </w:r>
    </w:p>
    <w:p>
      <w:pPr>
        <w:numPr>
          <w:ilvl w:val="0"/>
          <w:numId w:val="5"/>
        </w:numPr>
        <w:spacing w:line="600" w:lineRule="exact"/>
        <w:ind w:left="901"/>
        <w:rPr>
          <w:rFonts w:ascii="仿宋" w:hAnsi="仿宋" w:eastAsia="仿宋" w:cs="仿宋_GB2312"/>
          <w:b/>
          <w:sz w:val="32"/>
          <w:szCs w:val="32"/>
        </w:rPr>
      </w:pPr>
      <w:r>
        <w:rPr>
          <w:rFonts w:hint="eastAsia" w:ascii="仿宋" w:hAnsi="仿宋" w:eastAsia="仿宋" w:cs="仿宋_GB2312"/>
          <w:b/>
          <w:sz w:val="32"/>
          <w:szCs w:val="32"/>
        </w:rPr>
        <w:t>税务代征非税收入数据信息</w:t>
      </w:r>
    </w:p>
    <w:p>
      <w:pPr>
        <w:spacing w:line="600" w:lineRule="exact"/>
        <w:ind w:firstLine="640" w:firstLineChars="200"/>
        <w:rPr>
          <w:rFonts w:ascii="仿宋" w:hAnsi="仿宋" w:eastAsia="仿宋" w:cs="仿宋_GB2312"/>
          <w:b/>
          <w:sz w:val="32"/>
          <w:szCs w:val="32"/>
        </w:rPr>
      </w:pPr>
      <w:r>
        <w:rPr>
          <w:rFonts w:hint="eastAsia" w:ascii="仿宋" w:hAnsi="仿宋" w:eastAsia="仿宋" w:cs="仿宋_GB2312"/>
          <w:sz w:val="32"/>
          <w:szCs w:val="32"/>
        </w:rPr>
        <w:t>非税收入是除税收外，由各级国家机关、事业单位、代行政府职能的社会团体及其他组织依法利用国家权力、政府信誉、国有资源（资产）所有者权益等取得的各项收入。针对税务代征的非税收入，本章分级次、分地区进行了税务代征非税收入数据统计。主要包括：当月各地税务代征的收入、同比增速（%）、增减额以及累计从当年1月开始的收入、同比增速（%）、增减额、中央级收入、省级收入以及省以下级非税收入数据，并明确和规范了对相关数据信息报送的适用范围、频率、时间。</w:t>
      </w:r>
    </w:p>
    <w:p>
      <w:pPr>
        <w:numPr>
          <w:ilvl w:val="0"/>
          <w:numId w:val="5"/>
        </w:numPr>
        <w:spacing w:line="600" w:lineRule="exact"/>
        <w:ind w:left="901"/>
        <w:rPr>
          <w:rFonts w:ascii="仿宋" w:hAnsi="仿宋" w:eastAsia="仿宋" w:cs="仿宋_GB2312"/>
          <w:b/>
          <w:sz w:val="32"/>
          <w:szCs w:val="32"/>
        </w:rPr>
      </w:pPr>
      <w:r>
        <w:rPr>
          <w:rFonts w:hint="eastAsia" w:ascii="仿宋" w:hAnsi="仿宋" w:eastAsia="仿宋" w:cs="仿宋_GB2312"/>
          <w:b/>
          <w:sz w:val="32"/>
          <w:szCs w:val="32"/>
        </w:rPr>
        <w:t>税务代征社会保险费收入数据信息</w:t>
      </w:r>
    </w:p>
    <w:p>
      <w:pPr>
        <w:spacing w:line="600" w:lineRule="exact"/>
        <w:ind w:firstLine="640" w:firstLineChars="200"/>
        <w:rPr>
          <w:rFonts w:ascii="仿宋" w:hAnsi="仿宋" w:eastAsia="仿宋" w:cs="仿宋_GB2312"/>
          <w:b/>
          <w:sz w:val="32"/>
          <w:szCs w:val="32"/>
        </w:rPr>
      </w:pPr>
      <w:r>
        <w:rPr>
          <w:rFonts w:hint="eastAsia" w:ascii="仿宋" w:hAnsi="仿宋" w:eastAsia="仿宋" w:cs="仿宋_GB2312"/>
          <w:sz w:val="32"/>
          <w:szCs w:val="32"/>
        </w:rPr>
        <w:t>根据社会保险费的险种划分，社会保险费共分为8类，分别为:企业职工基本养老保险费、城乡居民基本养老保险费、机关事业单位基本养老保险费、职工基本医疗保险费、城乡居民基本医疗保险费、失业保险费、工伤保险费以及生育保险费。针对税务代征的社会保险费收入，本章按社会保险费分险种、分级次和分地区进行了社会保险费收入数据统计。主要包含了当月的收入、同比增速（%）、增减额以及累计从当年1月开始的收入、同比增速（%）、增减额、中央级收入、省级收入以及省以下级收入数据，并明确和规范了对相关数据信息报送的适用范围、频率、时间。</w:t>
      </w:r>
    </w:p>
    <w:p>
      <w:pPr>
        <w:spacing w:line="600" w:lineRule="exact"/>
        <w:ind w:left="901"/>
        <w:rPr>
          <w:rFonts w:ascii="仿宋" w:hAnsi="仿宋" w:eastAsia="仿宋" w:cs="仿宋_GB2312"/>
          <w:b/>
          <w:sz w:val="32"/>
          <w:szCs w:val="32"/>
        </w:rPr>
      </w:pPr>
      <w:r>
        <w:rPr>
          <w:rFonts w:hint="eastAsia" w:ascii="仿宋" w:hAnsi="仿宋" w:eastAsia="仿宋" w:cs="仿宋_GB2312"/>
          <w:b/>
          <w:sz w:val="32"/>
          <w:szCs w:val="32"/>
        </w:rPr>
        <w:t>5）海关代征数据信息</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针对海关代征的税收，本章分级次、分地区进行了海关代征收入数据统计。主要包括：当月各地海关代征的收入、同比增速（%）、增减额以及累计从当年1月开始的收入、同比增速（%）、增减额、中央级税收、省级税收以及省以下级税收收入数据，并明确和规范了对相关数据信息报送的适用范围、频率、时间。</w:t>
      </w:r>
    </w:p>
    <w:p>
      <w:pPr>
        <w:numPr>
          <w:ilvl w:val="0"/>
          <w:numId w:val="6"/>
        </w:numPr>
        <w:spacing w:line="60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标准中参考样表</w:t>
      </w:r>
    </w:p>
    <w:p>
      <w:pPr>
        <w:spacing w:line="600" w:lineRule="exact"/>
        <w:ind w:firstLine="642"/>
        <w:rPr>
          <w:rFonts w:ascii="仿宋" w:hAnsi="仿宋" w:eastAsia="仿宋" w:cs="仿宋_GB2312"/>
          <w:bCs/>
          <w:sz w:val="32"/>
          <w:szCs w:val="32"/>
        </w:rPr>
      </w:pPr>
      <w:r>
        <w:rPr>
          <w:rFonts w:hint="eastAsia" w:ascii="仿宋" w:hAnsi="仿宋" w:eastAsia="仿宋" w:cs="仿宋_GB2312"/>
          <w:bCs/>
          <w:sz w:val="32"/>
          <w:szCs w:val="32"/>
        </w:rPr>
        <w:t>标准中参考样表设计及数据来源见附件。</w:t>
      </w:r>
    </w:p>
    <w:p>
      <w:pPr>
        <w:spacing w:line="360" w:lineRule="auto"/>
        <w:ind w:left="600"/>
        <w:rPr>
          <w:rFonts w:ascii="仿宋" w:hAnsi="仿宋" w:eastAsia="仿宋" w:cs="仿宋_GB2312"/>
          <w:b/>
          <w:bCs/>
          <w:sz w:val="32"/>
          <w:szCs w:val="32"/>
        </w:rPr>
      </w:pPr>
      <w:r>
        <w:rPr>
          <w:rFonts w:hint="eastAsia" w:ascii="仿宋" w:hAnsi="仿宋" w:eastAsia="仿宋" w:cs="仿宋_GB2312"/>
          <w:b/>
          <w:bCs/>
          <w:sz w:val="32"/>
          <w:szCs w:val="32"/>
        </w:rPr>
        <w:t>七、与有关的现行法律、法规和标准的关系</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本标准的制定主要基于《中华人民共和国宪法》、《增值税暂行条例》、《关于推进地方人大预算联网监督工作的指导意见》等法律法规和文件，与相关法律法规、工作文件无任何抵触。</w:t>
      </w:r>
    </w:p>
    <w:p>
      <w:pPr>
        <w:spacing w:line="600" w:lineRule="exact"/>
        <w:ind w:firstLine="643" w:firstLineChars="200"/>
        <w:rPr>
          <w:rFonts w:ascii="仿宋" w:hAnsi="仿宋" w:eastAsia="仿宋" w:cs="Times New Roman"/>
          <w:b/>
          <w:bCs/>
          <w:sz w:val="32"/>
          <w:szCs w:val="32"/>
        </w:rPr>
      </w:pPr>
      <w:r>
        <w:rPr>
          <w:rFonts w:hint="eastAsia" w:ascii="仿宋" w:hAnsi="仿宋" w:eastAsia="仿宋" w:cs="仿宋_GB2312"/>
          <w:b/>
          <w:bCs/>
          <w:sz w:val="32"/>
          <w:szCs w:val="32"/>
        </w:rPr>
        <w:t>八、重大分歧意见的处理和依据</w:t>
      </w:r>
    </w:p>
    <w:p>
      <w:pPr>
        <w:spacing w:line="600" w:lineRule="exact"/>
        <w:ind w:firstLine="645"/>
        <w:rPr>
          <w:rFonts w:ascii="仿宋" w:hAnsi="仿宋" w:eastAsia="仿宋" w:cs="Times New Roman"/>
          <w:sz w:val="32"/>
          <w:szCs w:val="32"/>
        </w:rPr>
      </w:pPr>
      <w:r>
        <w:rPr>
          <w:rFonts w:hint="eastAsia" w:ascii="仿宋" w:hAnsi="仿宋" w:eastAsia="仿宋" w:cs="仿宋_GB2312"/>
          <w:sz w:val="32"/>
          <w:szCs w:val="32"/>
        </w:rPr>
        <w:t>本标准编制过程中，充分听取了省人大和省税务等相关部门的期望和要求，无重大分歧意见。</w:t>
      </w:r>
    </w:p>
    <w:p>
      <w:pPr>
        <w:spacing w:line="600" w:lineRule="exact"/>
        <w:ind w:firstLine="803" w:firstLineChars="250"/>
        <w:rPr>
          <w:rFonts w:ascii="仿宋" w:hAnsi="仿宋" w:eastAsia="仿宋" w:cs="Times New Roman"/>
          <w:b/>
          <w:bCs/>
          <w:sz w:val="32"/>
          <w:szCs w:val="32"/>
        </w:rPr>
      </w:pPr>
      <w:r>
        <w:rPr>
          <w:rFonts w:hint="eastAsia" w:ascii="仿宋" w:hAnsi="仿宋" w:eastAsia="仿宋" w:cs="仿宋_GB2312"/>
          <w:b/>
          <w:bCs/>
          <w:sz w:val="32"/>
          <w:szCs w:val="32"/>
        </w:rPr>
        <w:t>九、标准推荐性建议</w:t>
      </w:r>
    </w:p>
    <w:p>
      <w:pPr>
        <w:spacing w:line="60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本标准的制定，有利于充分发挥大数据和“互联网+”的信息化优势，实现对税务全过程、全口径、全方位、全覆盖的实时监督，提高监督的针对性和有效性，将有力推进全省人大预算联网审查监督和预算审查监督工作，确保党中央重大方针政策和省委决策部署的贯彻落实，建议作为推荐性地方标准发布实施。</w:t>
      </w:r>
    </w:p>
    <w:p>
      <w:pPr>
        <w:spacing w:line="600" w:lineRule="exact"/>
        <w:ind w:firstLine="800" w:firstLineChars="250"/>
        <w:rPr>
          <w:rFonts w:ascii="仿宋" w:hAnsi="仿宋" w:eastAsia="仿宋" w:cs="仿宋_GB2312"/>
          <w:sz w:val="32"/>
          <w:szCs w:val="32"/>
        </w:rPr>
      </w:pPr>
    </w:p>
    <w:p>
      <w:pPr>
        <w:spacing w:line="600" w:lineRule="exact"/>
        <w:ind w:firstLine="800" w:firstLineChars="250"/>
        <w:rPr>
          <w:rFonts w:ascii="仿宋" w:hAnsi="仿宋" w:eastAsia="仿宋" w:cs="仿宋_GB2312"/>
          <w:sz w:val="32"/>
          <w:szCs w:val="32"/>
        </w:rPr>
      </w:pPr>
    </w:p>
    <w:p>
      <w:pPr>
        <w:spacing w:line="600" w:lineRule="exact"/>
        <w:ind w:firstLine="800" w:firstLineChars="250"/>
        <w:rPr>
          <w:rFonts w:ascii="仿宋" w:hAnsi="仿宋" w:eastAsia="仿宋" w:cs="仿宋_GB2312"/>
          <w:sz w:val="32"/>
          <w:szCs w:val="32"/>
        </w:rPr>
      </w:pPr>
    </w:p>
    <w:p>
      <w:pPr>
        <w:spacing w:line="600" w:lineRule="exact"/>
        <w:ind w:firstLine="800" w:firstLineChars="250"/>
        <w:rPr>
          <w:rFonts w:ascii="仿宋" w:hAnsi="仿宋" w:eastAsia="仿宋" w:cs="仿宋_GB2312"/>
          <w:sz w:val="32"/>
          <w:szCs w:val="32"/>
        </w:rPr>
      </w:pPr>
    </w:p>
    <w:p>
      <w:pPr>
        <w:spacing w:line="600" w:lineRule="exact"/>
        <w:ind w:firstLine="800" w:firstLineChars="250"/>
        <w:rPr>
          <w:rFonts w:ascii="仿宋" w:hAnsi="仿宋" w:eastAsia="仿宋" w:cs="仿宋_GB2312"/>
          <w:sz w:val="32"/>
          <w:szCs w:val="32"/>
        </w:rPr>
      </w:pPr>
    </w:p>
    <w:p>
      <w:pPr>
        <w:spacing w:line="600" w:lineRule="exact"/>
        <w:ind w:firstLine="800" w:firstLineChars="250"/>
        <w:rPr>
          <w:rFonts w:ascii="仿宋" w:hAnsi="仿宋" w:eastAsia="仿宋" w:cs="仿宋_GB2312"/>
          <w:sz w:val="32"/>
          <w:szCs w:val="32"/>
        </w:rPr>
      </w:pPr>
    </w:p>
    <w:p>
      <w:pPr>
        <w:spacing w:line="600" w:lineRule="exact"/>
        <w:ind w:firstLine="800" w:firstLineChars="250"/>
        <w:rPr>
          <w:rFonts w:ascii="仿宋" w:hAnsi="仿宋" w:eastAsia="仿宋" w:cs="仿宋_GB2312"/>
          <w:sz w:val="32"/>
          <w:szCs w:val="32"/>
        </w:rPr>
      </w:pPr>
    </w:p>
    <w:p>
      <w:pPr>
        <w:spacing w:line="600" w:lineRule="exact"/>
        <w:ind w:firstLine="800" w:firstLineChars="250"/>
        <w:rPr>
          <w:rFonts w:ascii="仿宋" w:hAnsi="仿宋" w:eastAsia="仿宋" w:cs="仿宋_GB2312"/>
          <w:sz w:val="32"/>
          <w:szCs w:val="32"/>
        </w:rPr>
      </w:pPr>
    </w:p>
    <w:p>
      <w:pPr>
        <w:spacing w:line="600" w:lineRule="exact"/>
        <w:ind w:firstLine="800" w:firstLineChars="250"/>
        <w:rPr>
          <w:rFonts w:ascii="仿宋" w:hAnsi="仿宋" w:eastAsia="仿宋" w:cs="仿宋_GB2312"/>
          <w:sz w:val="32"/>
          <w:szCs w:val="32"/>
        </w:rPr>
      </w:pPr>
    </w:p>
    <w:p>
      <w:pPr>
        <w:spacing w:line="600" w:lineRule="exact"/>
        <w:ind w:firstLine="800" w:firstLineChars="250"/>
        <w:rPr>
          <w:rFonts w:ascii="仿宋" w:hAnsi="仿宋" w:eastAsia="仿宋" w:cs="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autoSpaceDE w:val="0"/>
        <w:spacing w:line="600" w:lineRule="exact"/>
        <w:jc w:val="left"/>
        <w:rPr>
          <w:rFonts w:ascii="仿宋" w:hAnsi="仿宋" w:eastAsia="仿宋"/>
          <w:kern w:val="0"/>
          <w:sz w:val="32"/>
          <w:szCs w:val="32"/>
        </w:rPr>
      </w:pPr>
      <w:r>
        <w:rPr>
          <w:rFonts w:hint="eastAsia" w:ascii="仿宋" w:hAnsi="仿宋" w:eastAsia="仿宋"/>
          <w:kern w:val="0"/>
          <w:sz w:val="32"/>
          <w:szCs w:val="32"/>
        </w:rPr>
        <w:t>附件：</w:t>
      </w:r>
    </w:p>
    <w:p>
      <w:pPr>
        <w:autoSpaceDE w:val="0"/>
        <w:spacing w:line="600" w:lineRule="exact"/>
        <w:jc w:val="center"/>
        <w:rPr>
          <w:rFonts w:ascii="黑体" w:hAnsi="黑体" w:eastAsia="黑体"/>
          <w:kern w:val="0"/>
          <w:sz w:val="32"/>
          <w:szCs w:val="32"/>
        </w:rPr>
      </w:pPr>
      <w:r>
        <w:rPr>
          <w:rFonts w:hint="eastAsia" w:ascii="黑体" w:hAnsi="黑体" w:eastAsia="黑体"/>
          <w:kern w:val="0"/>
          <w:sz w:val="32"/>
          <w:szCs w:val="32"/>
        </w:rPr>
        <w:t>《人大预算联网审查监督数据信息提供规范  税务 》参考样表设计及数据来源对照表</w:t>
      </w:r>
    </w:p>
    <w:tbl>
      <w:tblPr>
        <w:tblStyle w:val="5"/>
        <w:tblW w:w="14013" w:type="dxa"/>
        <w:tblInd w:w="13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4"/>
        <w:gridCol w:w="3273"/>
        <w:gridCol w:w="3525"/>
        <w:gridCol w:w="3889"/>
        <w:gridCol w:w="12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2" w:hRule="atLeast"/>
        </w:trPr>
        <w:tc>
          <w:tcPr>
            <w:tcW w:w="204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参考样表表号</w:t>
            </w:r>
          </w:p>
        </w:tc>
        <w:tc>
          <w:tcPr>
            <w:tcW w:w="3273"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参考样表名称</w:t>
            </w:r>
          </w:p>
        </w:tc>
        <w:tc>
          <w:tcPr>
            <w:tcW w:w="3525"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对应业务系统及版本</w:t>
            </w:r>
          </w:p>
        </w:tc>
        <w:tc>
          <w:tcPr>
            <w:tcW w:w="3889"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设计提供单位</w:t>
            </w:r>
          </w:p>
        </w:tc>
        <w:tc>
          <w:tcPr>
            <w:tcW w:w="1282"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2044" w:type="dxa"/>
            <w:tcBorders>
              <w:top w:val="single" w:color="auto" w:sz="6" w:space="0"/>
              <w:left w:val="single" w:color="auto" w:sz="4"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附录A表A.1</w:t>
            </w:r>
          </w:p>
        </w:tc>
        <w:tc>
          <w:tcPr>
            <w:tcW w:w="3273" w:type="dxa"/>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税收收入分税种、分级次情况</w:t>
            </w:r>
          </w:p>
        </w:tc>
        <w:tc>
          <w:tcPr>
            <w:tcW w:w="3525" w:type="dxa"/>
            <w:tcBorders>
              <w:top w:val="single" w:color="auto" w:sz="6" w:space="0"/>
              <w:left w:val="single" w:color="auto" w:sz="6" w:space="0"/>
              <w:bottom w:val="single" w:color="auto" w:sz="6" w:space="0"/>
              <w:right w:val="single" w:color="auto" w:sz="6" w:space="0"/>
            </w:tcBorders>
            <w:vAlign w:val="center"/>
          </w:tcPr>
          <w:p>
            <w:pPr>
              <w:widowControl/>
              <w:rPr>
                <w:rFonts w:ascii="宋体" w:hAnsi="宋体" w:cs="宋体"/>
                <w:kern w:val="0"/>
                <w:sz w:val="22"/>
                <w:szCs w:val="22"/>
              </w:rPr>
            </w:pPr>
            <w:r>
              <w:rPr>
                <w:rFonts w:hint="eastAsia" w:ascii="仿宋" w:hAnsi="仿宋" w:eastAsia="仿宋"/>
                <w:sz w:val="24"/>
                <w:szCs w:val="24"/>
              </w:rPr>
              <w:t>税收计会统报表管理系统TRS（Tax Report System）2010版</w:t>
            </w:r>
          </w:p>
        </w:tc>
        <w:tc>
          <w:tcPr>
            <w:tcW w:w="38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szCs w:val="22"/>
              </w:rPr>
            </w:pPr>
            <w:r>
              <w:rPr>
                <w:rFonts w:hint="eastAsia" w:ascii="仿宋" w:hAnsi="仿宋" w:eastAsia="仿宋"/>
                <w:sz w:val="24"/>
                <w:szCs w:val="24"/>
              </w:rPr>
              <w:t>国家税务总局四川省税务局</w:t>
            </w:r>
          </w:p>
        </w:tc>
        <w:tc>
          <w:tcPr>
            <w:tcW w:w="1282" w:type="dxa"/>
            <w:tcBorders>
              <w:top w:val="single" w:color="auto" w:sz="6" w:space="0"/>
              <w:left w:val="single" w:color="auto" w:sz="6" w:space="0"/>
              <w:bottom w:val="single" w:color="auto" w:sz="6" w:space="0"/>
              <w:right w:val="single" w:color="auto" w:sz="4" w:space="0"/>
            </w:tcBorders>
            <w:vAlign w:val="center"/>
          </w:tcPr>
          <w:p>
            <w:pPr>
              <w:widowControl/>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2044" w:type="dxa"/>
            <w:tcBorders>
              <w:top w:val="single" w:color="auto" w:sz="6" w:space="0"/>
              <w:left w:val="single" w:color="auto" w:sz="4"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附录B</w:t>
            </w:r>
          </w:p>
        </w:tc>
        <w:tc>
          <w:tcPr>
            <w:tcW w:w="3273" w:type="dxa"/>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税收收入分税种、分地区情况</w:t>
            </w:r>
          </w:p>
        </w:tc>
        <w:tc>
          <w:tcPr>
            <w:tcW w:w="3525" w:type="dxa"/>
            <w:tcBorders>
              <w:top w:val="single" w:color="auto" w:sz="6" w:space="0"/>
              <w:left w:val="single" w:color="auto" w:sz="6" w:space="0"/>
              <w:bottom w:val="single" w:color="auto" w:sz="6" w:space="0"/>
              <w:right w:val="single" w:color="auto" w:sz="6" w:space="0"/>
            </w:tcBorders>
          </w:tcPr>
          <w:p>
            <w:pPr>
              <w:rPr>
                <w:rFonts w:ascii="仿宋" w:hAnsi="仿宋" w:eastAsia="仿宋"/>
                <w:sz w:val="24"/>
                <w:szCs w:val="24"/>
              </w:rPr>
            </w:pPr>
            <w:r>
              <w:rPr>
                <w:rFonts w:hint="eastAsia" w:ascii="仿宋" w:hAnsi="仿宋" w:eastAsia="仿宋"/>
                <w:sz w:val="24"/>
                <w:szCs w:val="24"/>
              </w:rPr>
              <w:t>税收计会统报表管理系统TRS（Tax Report System）2010版</w:t>
            </w:r>
          </w:p>
        </w:tc>
        <w:tc>
          <w:tcPr>
            <w:tcW w:w="38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szCs w:val="22"/>
              </w:rPr>
            </w:pPr>
            <w:r>
              <w:rPr>
                <w:rFonts w:hint="eastAsia" w:ascii="仿宋" w:hAnsi="仿宋" w:eastAsia="仿宋"/>
                <w:sz w:val="24"/>
                <w:szCs w:val="24"/>
              </w:rPr>
              <w:t>国家税务总局四川省税务局</w:t>
            </w:r>
          </w:p>
        </w:tc>
        <w:tc>
          <w:tcPr>
            <w:tcW w:w="1282" w:type="dxa"/>
            <w:tcBorders>
              <w:top w:val="single" w:color="auto" w:sz="6" w:space="0"/>
              <w:left w:val="single" w:color="auto" w:sz="6" w:space="0"/>
              <w:bottom w:val="single" w:color="auto" w:sz="6" w:space="0"/>
              <w:right w:val="single" w:color="auto" w:sz="4" w:space="0"/>
            </w:tcBorders>
            <w:vAlign w:val="center"/>
          </w:tcPr>
          <w:p>
            <w:pPr>
              <w:widowControl/>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2044" w:type="dxa"/>
            <w:tcBorders>
              <w:top w:val="single" w:color="auto" w:sz="6" w:space="0"/>
              <w:left w:val="single" w:color="auto" w:sz="4"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附录C表C.1</w:t>
            </w:r>
          </w:p>
        </w:tc>
        <w:tc>
          <w:tcPr>
            <w:tcW w:w="3273" w:type="dxa"/>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税收收入分地区、分级次情况</w:t>
            </w:r>
          </w:p>
        </w:tc>
        <w:tc>
          <w:tcPr>
            <w:tcW w:w="3525" w:type="dxa"/>
            <w:tcBorders>
              <w:top w:val="single" w:color="auto" w:sz="6" w:space="0"/>
              <w:left w:val="single" w:color="auto" w:sz="6" w:space="0"/>
              <w:bottom w:val="single" w:color="auto" w:sz="6" w:space="0"/>
              <w:right w:val="single" w:color="auto" w:sz="6" w:space="0"/>
            </w:tcBorders>
          </w:tcPr>
          <w:p>
            <w:pPr>
              <w:rPr>
                <w:rFonts w:ascii="仿宋" w:hAnsi="仿宋" w:eastAsia="仿宋"/>
                <w:sz w:val="24"/>
                <w:szCs w:val="24"/>
              </w:rPr>
            </w:pPr>
            <w:r>
              <w:rPr>
                <w:rFonts w:hint="eastAsia" w:ascii="仿宋" w:hAnsi="仿宋" w:eastAsia="仿宋"/>
                <w:sz w:val="24"/>
                <w:szCs w:val="24"/>
              </w:rPr>
              <w:t>税收计会统报表管理系统TRS（Tax Report System）2010版</w:t>
            </w:r>
          </w:p>
        </w:tc>
        <w:tc>
          <w:tcPr>
            <w:tcW w:w="38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szCs w:val="22"/>
              </w:rPr>
            </w:pPr>
            <w:r>
              <w:rPr>
                <w:rFonts w:hint="eastAsia" w:ascii="仿宋" w:hAnsi="仿宋" w:eastAsia="仿宋"/>
                <w:sz w:val="24"/>
                <w:szCs w:val="24"/>
              </w:rPr>
              <w:t>国家税务总局四川省税务局</w:t>
            </w:r>
          </w:p>
        </w:tc>
        <w:tc>
          <w:tcPr>
            <w:tcW w:w="1282" w:type="dxa"/>
            <w:tcBorders>
              <w:top w:val="single" w:color="auto" w:sz="6" w:space="0"/>
              <w:left w:val="single" w:color="auto" w:sz="6" w:space="0"/>
              <w:bottom w:val="single" w:color="auto" w:sz="6" w:space="0"/>
              <w:right w:val="single" w:color="auto" w:sz="4" w:space="0"/>
            </w:tcBorders>
            <w:vAlign w:val="center"/>
          </w:tcPr>
          <w:p>
            <w:pPr>
              <w:widowControl/>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2044" w:type="dxa"/>
            <w:tcBorders>
              <w:top w:val="single" w:color="auto" w:sz="6" w:space="0"/>
              <w:left w:val="single" w:color="auto" w:sz="4"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附录D</w:t>
            </w:r>
          </w:p>
        </w:tc>
        <w:tc>
          <w:tcPr>
            <w:tcW w:w="3273" w:type="dxa"/>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税收收入分产业、分行业情况</w:t>
            </w:r>
          </w:p>
        </w:tc>
        <w:tc>
          <w:tcPr>
            <w:tcW w:w="3525" w:type="dxa"/>
            <w:tcBorders>
              <w:top w:val="single" w:color="auto" w:sz="6" w:space="0"/>
              <w:left w:val="single" w:color="auto" w:sz="6" w:space="0"/>
              <w:bottom w:val="single" w:color="auto" w:sz="6" w:space="0"/>
              <w:right w:val="single" w:color="auto" w:sz="6" w:space="0"/>
            </w:tcBorders>
          </w:tcPr>
          <w:p>
            <w:pPr>
              <w:rPr>
                <w:rFonts w:ascii="仿宋" w:hAnsi="仿宋" w:eastAsia="仿宋"/>
                <w:sz w:val="24"/>
                <w:szCs w:val="24"/>
              </w:rPr>
            </w:pPr>
            <w:r>
              <w:rPr>
                <w:rFonts w:hint="eastAsia" w:ascii="仿宋" w:hAnsi="仿宋" w:eastAsia="仿宋"/>
                <w:sz w:val="24"/>
                <w:szCs w:val="24"/>
              </w:rPr>
              <w:t>税收计会统报表管理系统TRS（Tax Report System）2010版</w:t>
            </w:r>
          </w:p>
        </w:tc>
        <w:tc>
          <w:tcPr>
            <w:tcW w:w="38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szCs w:val="22"/>
              </w:rPr>
            </w:pPr>
            <w:r>
              <w:rPr>
                <w:rFonts w:hint="eastAsia" w:ascii="仿宋" w:hAnsi="仿宋" w:eastAsia="仿宋"/>
                <w:sz w:val="24"/>
                <w:szCs w:val="24"/>
              </w:rPr>
              <w:t>国家税务总局四川省税务局</w:t>
            </w:r>
          </w:p>
        </w:tc>
        <w:tc>
          <w:tcPr>
            <w:tcW w:w="1282" w:type="dxa"/>
            <w:tcBorders>
              <w:top w:val="single" w:color="auto" w:sz="6" w:space="0"/>
              <w:left w:val="single" w:color="auto" w:sz="6" w:space="0"/>
              <w:bottom w:val="single" w:color="auto" w:sz="6" w:space="0"/>
              <w:right w:val="single" w:color="auto" w:sz="4" w:space="0"/>
            </w:tcBorders>
            <w:vAlign w:val="center"/>
          </w:tcPr>
          <w:p>
            <w:pPr>
              <w:widowControl/>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044" w:type="dxa"/>
            <w:tcBorders>
              <w:top w:val="single" w:color="auto" w:sz="6" w:space="0"/>
              <w:left w:val="single" w:color="auto" w:sz="4"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附录E</w:t>
            </w:r>
          </w:p>
        </w:tc>
        <w:tc>
          <w:tcPr>
            <w:tcW w:w="3273" w:type="dxa"/>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重点税种分项目收入情况出口退税情况</w:t>
            </w:r>
          </w:p>
        </w:tc>
        <w:tc>
          <w:tcPr>
            <w:tcW w:w="3525" w:type="dxa"/>
            <w:tcBorders>
              <w:top w:val="single" w:color="auto" w:sz="6" w:space="0"/>
              <w:left w:val="single" w:color="auto" w:sz="6" w:space="0"/>
              <w:bottom w:val="single" w:color="auto" w:sz="6" w:space="0"/>
              <w:right w:val="single" w:color="auto" w:sz="6" w:space="0"/>
            </w:tcBorders>
          </w:tcPr>
          <w:p>
            <w:pPr>
              <w:rPr>
                <w:rFonts w:ascii="仿宋" w:hAnsi="仿宋" w:eastAsia="仿宋"/>
                <w:sz w:val="24"/>
                <w:szCs w:val="24"/>
              </w:rPr>
            </w:pPr>
            <w:r>
              <w:rPr>
                <w:rFonts w:hint="eastAsia" w:ascii="仿宋" w:hAnsi="仿宋" w:eastAsia="仿宋"/>
                <w:sz w:val="24"/>
                <w:szCs w:val="24"/>
              </w:rPr>
              <w:t>税收计会统报表管理系统TRS（Tax Report System）2010版</w:t>
            </w:r>
          </w:p>
        </w:tc>
        <w:tc>
          <w:tcPr>
            <w:tcW w:w="38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szCs w:val="22"/>
              </w:rPr>
            </w:pPr>
            <w:r>
              <w:rPr>
                <w:rFonts w:hint="eastAsia" w:ascii="仿宋" w:hAnsi="仿宋" w:eastAsia="仿宋"/>
                <w:sz w:val="24"/>
                <w:szCs w:val="24"/>
              </w:rPr>
              <w:t>国家税务总局四川省税务局</w:t>
            </w:r>
          </w:p>
        </w:tc>
        <w:tc>
          <w:tcPr>
            <w:tcW w:w="1282" w:type="dxa"/>
            <w:tcBorders>
              <w:top w:val="single" w:color="auto" w:sz="6" w:space="0"/>
              <w:left w:val="single" w:color="auto" w:sz="6" w:space="0"/>
              <w:bottom w:val="single" w:color="auto" w:sz="6" w:space="0"/>
              <w:right w:val="single" w:color="auto" w:sz="4" w:space="0"/>
            </w:tcBorders>
            <w:vAlign w:val="center"/>
          </w:tcPr>
          <w:p>
            <w:pPr>
              <w:widowControl/>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044" w:type="dxa"/>
            <w:tcBorders>
              <w:top w:val="single" w:color="auto" w:sz="6" w:space="0"/>
              <w:left w:val="single" w:color="auto" w:sz="4"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附录F</w:t>
            </w:r>
          </w:p>
        </w:tc>
        <w:tc>
          <w:tcPr>
            <w:tcW w:w="3273" w:type="dxa"/>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出口退税情况</w:t>
            </w:r>
          </w:p>
        </w:tc>
        <w:tc>
          <w:tcPr>
            <w:tcW w:w="3525" w:type="dxa"/>
            <w:tcBorders>
              <w:top w:val="single" w:color="auto" w:sz="6" w:space="0"/>
              <w:left w:val="single" w:color="auto" w:sz="6" w:space="0"/>
              <w:bottom w:val="single" w:color="auto" w:sz="6" w:space="0"/>
              <w:right w:val="single" w:color="auto" w:sz="6" w:space="0"/>
            </w:tcBorders>
          </w:tcPr>
          <w:p>
            <w:pPr>
              <w:rPr>
                <w:rFonts w:ascii="仿宋" w:hAnsi="仿宋" w:eastAsia="仿宋"/>
                <w:sz w:val="24"/>
                <w:szCs w:val="24"/>
              </w:rPr>
            </w:pPr>
            <w:r>
              <w:rPr>
                <w:rFonts w:hint="eastAsia" w:ascii="仿宋" w:hAnsi="仿宋" w:eastAsia="仿宋"/>
                <w:sz w:val="24"/>
                <w:szCs w:val="24"/>
              </w:rPr>
              <w:t>税收计会统报表管理系统TRS（Tax Report System）2010版</w:t>
            </w:r>
          </w:p>
        </w:tc>
        <w:tc>
          <w:tcPr>
            <w:tcW w:w="38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2"/>
                <w:szCs w:val="22"/>
              </w:rPr>
            </w:pPr>
            <w:r>
              <w:rPr>
                <w:rFonts w:hint="eastAsia" w:ascii="仿宋" w:hAnsi="仿宋" w:eastAsia="仿宋"/>
                <w:sz w:val="24"/>
                <w:szCs w:val="24"/>
              </w:rPr>
              <w:t>国家税务总局四川省税务局</w:t>
            </w:r>
          </w:p>
        </w:tc>
        <w:tc>
          <w:tcPr>
            <w:tcW w:w="1282" w:type="dxa"/>
            <w:tcBorders>
              <w:top w:val="single" w:color="auto" w:sz="6" w:space="0"/>
              <w:left w:val="single" w:color="auto" w:sz="6" w:space="0"/>
              <w:bottom w:val="single" w:color="auto" w:sz="6" w:space="0"/>
              <w:right w:val="single" w:color="auto" w:sz="4" w:space="0"/>
            </w:tcBorders>
            <w:vAlign w:val="center"/>
          </w:tcPr>
          <w:p>
            <w:pPr>
              <w:widowControl/>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044" w:type="dxa"/>
            <w:tcBorders>
              <w:top w:val="single" w:color="auto" w:sz="6" w:space="0"/>
              <w:left w:val="single" w:color="auto" w:sz="4"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附录G表G.1</w:t>
            </w:r>
          </w:p>
        </w:tc>
        <w:tc>
          <w:tcPr>
            <w:tcW w:w="3273" w:type="dxa"/>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非税收入分级次情况</w:t>
            </w:r>
          </w:p>
        </w:tc>
        <w:tc>
          <w:tcPr>
            <w:tcW w:w="3525" w:type="dxa"/>
            <w:tcBorders>
              <w:top w:val="single" w:color="auto" w:sz="6" w:space="0"/>
              <w:left w:val="single" w:color="auto" w:sz="6" w:space="0"/>
              <w:bottom w:val="single" w:color="auto" w:sz="6" w:space="0"/>
              <w:right w:val="single" w:color="auto" w:sz="6" w:space="0"/>
            </w:tcBorders>
          </w:tcPr>
          <w:p>
            <w:pPr>
              <w:rPr>
                <w:rFonts w:ascii="仿宋" w:hAnsi="仿宋" w:eastAsia="仿宋"/>
                <w:sz w:val="24"/>
                <w:szCs w:val="24"/>
              </w:rPr>
            </w:pPr>
            <w:r>
              <w:rPr>
                <w:rFonts w:hint="eastAsia" w:ascii="仿宋" w:hAnsi="仿宋" w:eastAsia="仿宋"/>
                <w:sz w:val="24"/>
                <w:szCs w:val="24"/>
              </w:rPr>
              <w:t>税收计会统报表管理系统TRS（Tax Report System）2010版</w:t>
            </w:r>
          </w:p>
        </w:tc>
        <w:tc>
          <w:tcPr>
            <w:tcW w:w="38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2"/>
                <w:szCs w:val="22"/>
              </w:rPr>
            </w:pPr>
            <w:r>
              <w:rPr>
                <w:rFonts w:hint="eastAsia" w:ascii="仿宋" w:hAnsi="仿宋" w:eastAsia="仿宋"/>
                <w:sz w:val="24"/>
                <w:szCs w:val="24"/>
              </w:rPr>
              <w:t>国家税务总局四川省税务局</w:t>
            </w:r>
          </w:p>
        </w:tc>
        <w:tc>
          <w:tcPr>
            <w:tcW w:w="1282" w:type="dxa"/>
            <w:tcBorders>
              <w:top w:val="single" w:color="auto" w:sz="6" w:space="0"/>
              <w:left w:val="single" w:color="auto" w:sz="6" w:space="0"/>
              <w:bottom w:val="single" w:color="auto" w:sz="6" w:space="0"/>
              <w:right w:val="single" w:color="auto" w:sz="4" w:space="0"/>
            </w:tcBorders>
            <w:vAlign w:val="center"/>
          </w:tcPr>
          <w:p>
            <w:pPr>
              <w:widowControl/>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044" w:type="dxa"/>
            <w:tcBorders>
              <w:top w:val="single" w:color="auto" w:sz="6" w:space="0"/>
              <w:left w:val="single" w:color="auto" w:sz="4"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附录G表G.2</w:t>
            </w:r>
          </w:p>
        </w:tc>
        <w:tc>
          <w:tcPr>
            <w:tcW w:w="3273" w:type="dxa"/>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非税收入分地区情况</w:t>
            </w:r>
          </w:p>
        </w:tc>
        <w:tc>
          <w:tcPr>
            <w:tcW w:w="3525" w:type="dxa"/>
            <w:tcBorders>
              <w:top w:val="single" w:color="auto" w:sz="6" w:space="0"/>
              <w:left w:val="single" w:color="auto" w:sz="6" w:space="0"/>
              <w:bottom w:val="single" w:color="auto" w:sz="6" w:space="0"/>
              <w:right w:val="single" w:color="auto" w:sz="6" w:space="0"/>
            </w:tcBorders>
          </w:tcPr>
          <w:p>
            <w:pPr>
              <w:rPr>
                <w:rFonts w:ascii="仿宋" w:hAnsi="仿宋" w:eastAsia="仿宋"/>
                <w:sz w:val="24"/>
                <w:szCs w:val="24"/>
              </w:rPr>
            </w:pPr>
            <w:r>
              <w:rPr>
                <w:rFonts w:hint="eastAsia" w:ascii="仿宋" w:hAnsi="仿宋" w:eastAsia="仿宋"/>
                <w:sz w:val="24"/>
                <w:szCs w:val="24"/>
              </w:rPr>
              <w:t>税收计会统报表管理系统TRS（Tax Report System）2010版</w:t>
            </w:r>
          </w:p>
        </w:tc>
        <w:tc>
          <w:tcPr>
            <w:tcW w:w="38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2"/>
                <w:szCs w:val="22"/>
              </w:rPr>
            </w:pPr>
            <w:r>
              <w:rPr>
                <w:rFonts w:hint="eastAsia" w:ascii="仿宋" w:hAnsi="仿宋" w:eastAsia="仿宋"/>
                <w:sz w:val="24"/>
                <w:szCs w:val="24"/>
              </w:rPr>
              <w:t>国家税务总局四川省税务局</w:t>
            </w:r>
          </w:p>
        </w:tc>
        <w:tc>
          <w:tcPr>
            <w:tcW w:w="1282" w:type="dxa"/>
            <w:tcBorders>
              <w:top w:val="single" w:color="auto" w:sz="6" w:space="0"/>
              <w:left w:val="single" w:color="auto" w:sz="6" w:space="0"/>
              <w:bottom w:val="single" w:color="auto" w:sz="6" w:space="0"/>
              <w:right w:val="single" w:color="auto" w:sz="4" w:space="0"/>
            </w:tcBorders>
            <w:vAlign w:val="center"/>
          </w:tcPr>
          <w:p>
            <w:pPr>
              <w:widowControl/>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044" w:type="dxa"/>
            <w:tcBorders>
              <w:top w:val="single" w:color="auto" w:sz="6" w:space="0"/>
              <w:left w:val="single" w:color="auto" w:sz="4"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附录H表H.1</w:t>
            </w:r>
          </w:p>
        </w:tc>
        <w:tc>
          <w:tcPr>
            <w:tcW w:w="3273" w:type="dxa"/>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社会保险费收入分级次情况</w:t>
            </w:r>
          </w:p>
        </w:tc>
        <w:tc>
          <w:tcPr>
            <w:tcW w:w="3525" w:type="dxa"/>
            <w:tcBorders>
              <w:top w:val="single" w:color="auto" w:sz="6" w:space="0"/>
              <w:left w:val="single" w:color="auto" w:sz="6" w:space="0"/>
              <w:bottom w:val="single" w:color="auto" w:sz="6" w:space="0"/>
              <w:right w:val="single" w:color="auto" w:sz="6" w:space="0"/>
            </w:tcBorders>
          </w:tcPr>
          <w:p>
            <w:pPr>
              <w:rPr>
                <w:rFonts w:ascii="仿宋" w:hAnsi="仿宋" w:eastAsia="仿宋"/>
                <w:sz w:val="24"/>
                <w:szCs w:val="24"/>
              </w:rPr>
            </w:pPr>
            <w:r>
              <w:rPr>
                <w:rFonts w:hint="eastAsia" w:ascii="仿宋" w:hAnsi="仿宋" w:eastAsia="仿宋"/>
                <w:sz w:val="24"/>
                <w:szCs w:val="24"/>
              </w:rPr>
              <w:t>税收计会统报表管理系统TRS（Tax Report System）2010版</w:t>
            </w:r>
          </w:p>
        </w:tc>
        <w:tc>
          <w:tcPr>
            <w:tcW w:w="38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2"/>
                <w:szCs w:val="22"/>
              </w:rPr>
            </w:pPr>
            <w:r>
              <w:rPr>
                <w:rFonts w:hint="eastAsia" w:ascii="仿宋" w:hAnsi="仿宋" w:eastAsia="仿宋"/>
                <w:sz w:val="24"/>
                <w:szCs w:val="24"/>
              </w:rPr>
              <w:t>国家税务总局四川省税务局</w:t>
            </w:r>
          </w:p>
        </w:tc>
        <w:tc>
          <w:tcPr>
            <w:tcW w:w="1282" w:type="dxa"/>
            <w:tcBorders>
              <w:top w:val="single" w:color="auto" w:sz="6" w:space="0"/>
              <w:left w:val="single" w:color="auto" w:sz="6" w:space="0"/>
              <w:bottom w:val="single" w:color="auto" w:sz="6" w:space="0"/>
              <w:right w:val="single" w:color="auto" w:sz="4" w:space="0"/>
            </w:tcBorders>
            <w:vAlign w:val="center"/>
          </w:tcPr>
          <w:p>
            <w:pPr>
              <w:widowControl/>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044" w:type="dxa"/>
            <w:tcBorders>
              <w:top w:val="single" w:color="auto" w:sz="6" w:space="0"/>
              <w:left w:val="single" w:color="auto" w:sz="4"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附录H表H.2</w:t>
            </w:r>
          </w:p>
        </w:tc>
        <w:tc>
          <w:tcPr>
            <w:tcW w:w="3273" w:type="dxa"/>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社会保险费收入分地区情况</w:t>
            </w:r>
          </w:p>
        </w:tc>
        <w:tc>
          <w:tcPr>
            <w:tcW w:w="3525" w:type="dxa"/>
            <w:tcBorders>
              <w:top w:val="single" w:color="auto" w:sz="6" w:space="0"/>
              <w:left w:val="single" w:color="auto" w:sz="6" w:space="0"/>
              <w:bottom w:val="single" w:color="auto" w:sz="6" w:space="0"/>
              <w:right w:val="single" w:color="auto" w:sz="6" w:space="0"/>
            </w:tcBorders>
            <w:vAlign w:val="center"/>
          </w:tcPr>
          <w:p>
            <w:pPr>
              <w:widowControl/>
              <w:rPr>
                <w:rFonts w:ascii="宋体" w:hAnsi="宋体"/>
                <w:kern w:val="0"/>
                <w:sz w:val="22"/>
                <w:szCs w:val="22"/>
              </w:rPr>
            </w:pPr>
            <w:r>
              <w:rPr>
                <w:rFonts w:hint="eastAsia" w:ascii="仿宋" w:hAnsi="仿宋" w:eastAsia="仿宋"/>
                <w:sz w:val="24"/>
                <w:szCs w:val="24"/>
              </w:rPr>
              <w:t>税收计会统报表管理系统TRS（Tax Report System）2010版</w:t>
            </w:r>
          </w:p>
        </w:tc>
        <w:tc>
          <w:tcPr>
            <w:tcW w:w="38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2"/>
                <w:szCs w:val="22"/>
              </w:rPr>
            </w:pPr>
            <w:r>
              <w:rPr>
                <w:rFonts w:hint="eastAsia" w:ascii="仿宋" w:hAnsi="仿宋" w:eastAsia="仿宋"/>
                <w:sz w:val="24"/>
                <w:szCs w:val="24"/>
              </w:rPr>
              <w:t>国家税务总局四川省税务局</w:t>
            </w:r>
          </w:p>
        </w:tc>
        <w:tc>
          <w:tcPr>
            <w:tcW w:w="1282" w:type="dxa"/>
            <w:tcBorders>
              <w:top w:val="single" w:color="auto" w:sz="6" w:space="0"/>
              <w:left w:val="single" w:color="auto" w:sz="6" w:space="0"/>
              <w:bottom w:val="single" w:color="auto" w:sz="6" w:space="0"/>
              <w:right w:val="single" w:color="auto" w:sz="4" w:space="0"/>
            </w:tcBorders>
            <w:vAlign w:val="center"/>
          </w:tcPr>
          <w:p>
            <w:pPr>
              <w:widowControl/>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044" w:type="dxa"/>
            <w:tcBorders>
              <w:top w:val="single" w:color="auto" w:sz="6" w:space="0"/>
              <w:left w:val="single" w:color="auto" w:sz="4"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附录I表I.1</w:t>
            </w:r>
          </w:p>
        </w:tc>
        <w:tc>
          <w:tcPr>
            <w:tcW w:w="3273" w:type="dxa"/>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海关代征收入分级次情况</w:t>
            </w:r>
          </w:p>
        </w:tc>
        <w:tc>
          <w:tcPr>
            <w:tcW w:w="3525" w:type="dxa"/>
            <w:tcBorders>
              <w:top w:val="single" w:color="auto" w:sz="6" w:space="0"/>
              <w:left w:val="single" w:color="auto" w:sz="6" w:space="0"/>
              <w:bottom w:val="single" w:color="auto" w:sz="6" w:space="0"/>
              <w:right w:val="single" w:color="auto" w:sz="6" w:space="0"/>
            </w:tcBorders>
            <w:vAlign w:val="center"/>
          </w:tcPr>
          <w:p>
            <w:pPr>
              <w:widowControl/>
              <w:rPr>
                <w:rFonts w:ascii="宋体" w:hAnsi="宋体"/>
                <w:kern w:val="0"/>
                <w:sz w:val="22"/>
                <w:szCs w:val="22"/>
              </w:rPr>
            </w:pPr>
            <w:r>
              <w:rPr>
                <w:rFonts w:hint="eastAsia" w:ascii="仿宋" w:hAnsi="仿宋" w:eastAsia="仿宋"/>
                <w:sz w:val="24"/>
                <w:szCs w:val="24"/>
              </w:rPr>
              <w:t>税收计会统报表管理系统TRS（Tax Report System）2010版</w:t>
            </w:r>
          </w:p>
        </w:tc>
        <w:tc>
          <w:tcPr>
            <w:tcW w:w="38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2"/>
                <w:szCs w:val="22"/>
              </w:rPr>
            </w:pPr>
            <w:r>
              <w:rPr>
                <w:rFonts w:hint="eastAsia" w:ascii="仿宋" w:hAnsi="仿宋" w:eastAsia="仿宋"/>
                <w:sz w:val="24"/>
                <w:szCs w:val="24"/>
              </w:rPr>
              <w:t>国家税务总局四川省税务局</w:t>
            </w:r>
          </w:p>
        </w:tc>
        <w:tc>
          <w:tcPr>
            <w:tcW w:w="1282" w:type="dxa"/>
            <w:tcBorders>
              <w:top w:val="single" w:color="auto" w:sz="6" w:space="0"/>
              <w:left w:val="single" w:color="auto" w:sz="6" w:space="0"/>
              <w:bottom w:val="single" w:color="auto" w:sz="6" w:space="0"/>
              <w:right w:val="single" w:color="auto" w:sz="4" w:space="0"/>
            </w:tcBorders>
            <w:vAlign w:val="center"/>
          </w:tcPr>
          <w:p>
            <w:pPr>
              <w:widowControl/>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044" w:type="dxa"/>
            <w:tcBorders>
              <w:top w:val="single" w:color="auto" w:sz="6" w:space="0"/>
              <w:left w:val="single" w:color="auto" w:sz="4" w:space="0"/>
              <w:bottom w:val="single" w:color="auto" w:sz="6" w:space="0"/>
              <w:right w:val="single" w:color="auto" w:sz="6" w:space="0"/>
            </w:tcBorders>
            <w:vAlign w:val="center"/>
          </w:tcPr>
          <w:p>
            <w:pPr>
              <w:jc w:val="left"/>
              <w:rPr>
                <w:rFonts w:ascii="仿宋" w:hAnsi="仿宋" w:eastAsia="仿宋" w:cs="仿宋_GB2312"/>
                <w:sz w:val="24"/>
                <w:szCs w:val="24"/>
              </w:rPr>
            </w:pPr>
            <w:r>
              <w:rPr>
                <w:rFonts w:hint="eastAsia" w:ascii="仿宋" w:hAnsi="仿宋" w:eastAsia="仿宋"/>
                <w:sz w:val="24"/>
                <w:szCs w:val="24"/>
              </w:rPr>
              <w:t>附录I表I.2</w:t>
            </w:r>
          </w:p>
        </w:tc>
        <w:tc>
          <w:tcPr>
            <w:tcW w:w="3273" w:type="dxa"/>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海关代征收入分地区情况</w:t>
            </w:r>
          </w:p>
        </w:tc>
        <w:tc>
          <w:tcPr>
            <w:tcW w:w="3525" w:type="dxa"/>
            <w:tcBorders>
              <w:top w:val="single" w:color="auto" w:sz="6" w:space="0"/>
              <w:left w:val="single" w:color="auto" w:sz="6" w:space="0"/>
              <w:bottom w:val="single" w:color="auto" w:sz="6" w:space="0"/>
              <w:right w:val="single" w:color="auto" w:sz="6" w:space="0"/>
            </w:tcBorders>
            <w:vAlign w:val="center"/>
          </w:tcPr>
          <w:p>
            <w:pPr>
              <w:widowControl/>
              <w:rPr>
                <w:rFonts w:ascii="宋体" w:hAnsi="宋体"/>
                <w:kern w:val="0"/>
                <w:sz w:val="22"/>
                <w:szCs w:val="22"/>
              </w:rPr>
            </w:pPr>
            <w:r>
              <w:rPr>
                <w:rFonts w:hint="eastAsia" w:ascii="仿宋" w:hAnsi="仿宋" w:eastAsia="仿宋"/>
                <w:sz w:val="24"/>
                <w:szCs w:val="24"/>
              </w:rPr>
              <w:t>税收计会统报表管理系统TRS（Tax Report System）2010版</w:t>
            </w:r>
          </w:p>
        </w:tc>
        <w:tc>
          <w:tcPr>
            <w:tcW w:w="38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2"/>
                <w:szCs w:val="22"/>
              </w:rPr>
            </w:pPr>
            <w:r>
              <w:rPr>
                <w:rFonts w:hint="eastAsia" w:ascii="仿宋" w:hAnsi="仿宋" w:eastAsia="仿宋"/>
                <w:sz w:val="24"/>
                <w:szCs w:val="24"/>
              </w:rPr>
              <w:t>国家税务总局四川省税务局</w:t>
            </w:r>
          </w:p>
        </w:tc>
        <w:tc>
          <w:tcPr>
            <w:tcW w:w="1282" w:type="dxa"/>
            <w:tcBorders>
              <w:top w:val="single" w:color="auto" w:sz="6" w:space="0"/>
              <w:left w:val="single" w:color="auto" w:sz="6" w:space="0"/>
              <w:bottom w:val="single" w:color="auto" w:sz="6" w:space="0"/>
              <w:right w:val="single" w:color="auto" w:sz="4" w:space="0"/>
            </w:tcBorders>
            <w:vAlign w:val="center"/>
          </w:tcPr>
          <w:p>
            <w:pPr>
              <w:widowControl/>
              <w:rPr>
                <w:rFonts w:ascii="宋体" w:hAnsi="宋体"/>
                <w:kern w:val="0"/>
                <w:sz w:val="22"/>
                <w:szCs w:val="22"/>
              </w:rPr>
            </w:pPr>
          </w:p>
        </w:tc>
      </w:tr>
    </w:tbl>
    <w:p>
      <w:pPr>
        <w:autoSpaceDE w:val="0"/>
        <w:spacing w:line="600" w:lineRule="exact"/>
        <w:jc w:val="center"/>
        <w:rPr>
          <w:rFonts w:ascii="仿宋" w:hAnsi="仿宋" w:eastAsia="仿宋" w:cs="仿宋_GB2312"/>
          <w:sz w:val="48"/>
          <w:szCs w:val="48"/>
        </w:rPr>
      </w:pPr>
    </w:p>
    <w:p>
      <w:pPr>
        <w:spacing w:line="600" w:lineRule="exact"/>
        <w:ind w:firstLine="800" w:firstLineChars="250"/>
        <w:rPr>
          <w:rFonts w:ascii="仿宋" w:hAnsi="仿宋" w:eastAsia="仿宋"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051092"/>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AEFC4F"/>
    <w:multiLevelType w:val="singleLevel"/>
    <w:tmpl w:val="D9AEFC4F"/>
    <w:lvl w:ilvl="0" w:tentative="0">
      <w:start w:val="3"/>
      <w:numFmt w:val="decimal"/>
      <w:suff w:val="nothing"/>
      <w:lvlText w:val="%1）"/>
      <w:lvlJc w:val="left"/>
    </w:lvl>
  </w:abstractNum>
  <w:abstractNum w:abstractNumId="1">
    <w:nsid w:val="29B6554C"/>
    <w:multiLevelType w:val="multilevel"/>
    <w:tmpl w:val="29B6554C"/>
    <w:lvl w:ilvl="0" w:tentative="0">
      <w:start w:val="1"/>
      <w:numFmt w:val="decimal"/>
      <w:lvlText w:val="（%1）"/>
      <w:lvlJc w:val="left"/>
      <w:pPr>
        <w:ind w:left="1430" w:hanging="7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
    <w:nsid w:val="5BB813BA"/>
    <w:multiLevelType w:val="singleLevel"/>
    <w:tmpl w:val="5BB813BA"/>
    <w:lvl w:ilvl="0" w:tentative="0">
      <w:start w:val="1"/>
      <w:numFmt w:val="decimal"/>
      <w:suff w:val="nothing"/>
      <w:lvlText w:val="%1、"/>
      <w:lvlJc w:val="left"/>
      <w:pPr>
        <w:ind w:left="901" w:firstLine="0"/>
      </w:pPr>
    </w:lvl>
  </w:abstractNum>
  <w:abstractNum w:abstractNumId="3">
    <w:nsid w:val="61FE88F3"/>
    <w:multiLevelType w:val="singleLevel"/>
    <w:tmpl w:val="61FE88F3"/>
    <w:lvl w:ilvl="0" w:tentative="0">
      <w:start w:val="7"/>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pStyle w:val="8"/>
      <w:suff w:val="nothing"/>
      <w:lvlText w:val="%1"/>
      <w:lvlJc w:val="left"/>
      <w:rPr>
        <w:rFonts w:hint="default" w:ascii="Times New Roman" w:hAnsi="Times New Roman"/>
        <w:b/>
        <w:bCs/>
        <w:i w:val="0"/>
        <w:iCs w:val="0"/>
        <w:sz w:val="21"/>
        <w:szCs w:val="21"/>
      </w:rPr>
    </w:lvl>
    <w:lvl w:ilvl="1" w:tentative="0">
      <w:start w:val="1"/>
      <w:numFmt w:val="decimal"/>
      <w:pStyle w:val="9"/>
      <w:suff w:val="nothing"/>
      <w:lvlText w:val="%1%2　"/>
      <w:lvlJc w:val="left"/>
      <w:rPr>
        <w:rFonts w:hint="eastAsia" w:ascii="黑体" w:hAnsi="Times New Roman" w:eastAsia="黑体"/>
        <w:b w:val="0"/>
        <w:bCs w:val="0"/>
        <w:i w:val="0"/>
        <w:iCs w:val="0"/>
        <w:sz w:val="21"/>
        <w:szCs w:val="21"/>
      </w:rPr>
    </w:lvl>
    <w:lvl w:ilvl="2" w:tentative="0">
      <w:start w:val="1"/>
      <w:numFmt w:val="decimal"/>
      <w:pStyle w:val="10"/>
      <w:suff w:val="nothing"/>
      <w:lvlText w:val="%1%2.%3　"/>
      <w:lvlJc w:val="left"/>
      <w:rPr>
        <w:rFonts w:hint="eastAsia" w:ascii="黑体" w:hAnsi="Times New Roman" w:eastAsia="黑体"/>
        <w:b w:val="0"/>
        <w:bCs w:val="0"/>
        <w:i w:val="0"/>
        <w:iCs w:val="0"/>
        <w:sz w:val="21"/>
        <w:szCs w:val="21"/>
      </w:rPr>
    </w:lvl>
    <w:lvl w:ilvl="3" w:tentative="0">
      <w:start w:val="1"/>
      <w:numFmt w:val="decimal"/>
      <w:pStyle w:val="11"/>
      <w:suff w:val="nothing"/>
      <w:lvlText w:val="%1%2.%3.%4　"/>
      <w:lvlJc w:val="left"/>
      <w:rPr>
        <w:rFonts w:hint="eastAsia" w:ascii="黑体" w:hAnsi="Times New Roman" w:eastAsia="黑体"/>
        <w:b w:val="0"/>
        <w:bCs w:val="0"/>
        <w:i w:val="0"/>
        <w:iCs w:val="0"/>
        <w:sz w:val="21"/>
        <w:szCs w:val="21"/>
      </w:rPr>
    </w:lvl>
    <w:lvl w:ilvl="4" w:tentative="0">
      <w:start w:val="1"/>
      <w:numFmt w:val="decimal"/>
      <w:pStyle w:val="12"/>
      <w:suff w:val="nothing"/>
      <w:lvlText w:val="%1%2.%3.%4.%5　"/>
      <w:lvlJc w:val="left"/>
      <w:rPr>
        <w:rFonts w:hint="eastAsia" w:ascii="黑体" w:hAnsi="Times New Roman" w:eastAsia="黑体"/>
        <w:b w:val="0"/>
        <w:bCs w:val="0"/>
        <w:i w:val="0"/>
        <w:iCs w:val="0"/>
        <w:sz w:val="21"/>
        <w:szCs w:val="21"/>
      </w:rPr>
    </w:lvl>
    <w:lvl w:ilvl="5" w:tentative="0">
      <w:start w:val="1"/>
      <w:numFmt w:val="decimal"/>
      <w:pStyle w:val="13"/>
      <w:suff w:val="nothing"/>
      <w:lvlText w:val="%1%2.%3.%4.%5.%6　"/>
      <w:lvlJc w:val="left"/>
      <w:rPr>
        <w:rFonts w:hint="eastAsia" w:ascii="黑体" w:hAnsi="Times New Roman" w:eastAsia="黑体"/>
        <w:b w:val="0"/>
        <w:bCs w:val="0"/>
        <w:i w:val="0"/>
        <w:iCs w:val="0"/>
        <w:sz w:val="21"/>
        <w:szCs w:val="21"/>
      </w:rPr>
    </w:lvl>
    <w:lvl w:ilvl="6" w:tentative="0">
      <w:start w:val="1"/>
      <w:numFmt w:val="decimal"/>
      <w:pStyle w:val="14"/>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2D0536B"/>
    <w:multiLevelType w:val="singleLevel"/>
    <w:tmpl w:val="72D0536B"/>
    <w:lvl w:ilvl="0" w:tentative="0">
      <w:start w:val="4"/>
      <w:numFmt w:val="chineseCounting"/>
      <w:suff w:val="nothing"/>
      <w:lvlText w:val="（%1）"/>
      <w:lvlJc w:val="left"/>
      <w:rPr>
        <w:rFonts w:hint="eastAsia"/>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7997"/>
    <w:rsid w:val="000079F6"/>
    <w:rsid w:val="00017473"/>
    <w:rsid w:val="000205D3"/>
    <w:rsid w:val="00027DBD"/>
    <w:rsid w:val="00030C2D"/>
    <w:rsid w:val="000369B5"/>
    <w:rsid w:val="00043CA4"/>
    <w:rsid w:val="00053D7B"/>
    <w:rsid w:val="000550A2"/>
    <w:rsid w:val="00057995"/>
    <w:rsid w:val="00057AD4"/>
    <w:rsid w:val="000664CE"/>
    <w:rsid w:val="00066BAA"/>
    <w:rsid w:val="000708C4"/>
    <w:rsid w:val="00074CD8"/>
    <w:rsid w:val="0008040F"/>
    <w:rsid w:val="0008041A"/>
    <w:rsid w:val="0008188D"/>
    <w:rsid w:val="00081C8F"/>
    <w:rsid w:val="00081C9F"/>
    <w:rsid w:val="00084E7C"/>
    <w:rsid w:val="000867D5"/>
    <w:rsid w:val="00087F99"/>
    <w:rsid w:val="000A4E42"/>
    <w:rsid w:val="000A6306"/>
    <w:rsid w:val="000A6A67"/>
    <w:rsid w:val="000A7BCF"/>
    <w:rsid w:val="000B363E"/>
    <w:rsid w:val="000B5F82"/>
    <w:rsid w:val="000C0CAB"/>
    <w:rsid w:val="000C2971"/>
    <w:rsid w:val="000D1E02"/>
    <w:rsid w:val="000E04F7"/>
    <w:rsid w:val="000E19C1"/>
    <w:rsid w:val="000E268C"/>
    <w:rsid w:val="000F2FC8"/>
    <w:rsid w:val="000F4665"/>
    <w:rsid w:val="0010427A"/>
    <w:rsid w:val="00107271"/>
    <w:rsid w:val="0011596A"/>
    <w:rsid w:val="0012489D"/>
    <w:rsid w:val="00124D7E"/>
    <w:rsid w:val="00127273"/>
    <w:rsid w:val="00127D18"/>
    <w:rsid w:val="00127FCC"/>
    <w:rsid w:val="00141E92"/>
    <w:rsid w:val="00143997"/>
    <w:rsid w:val="001463A9"/>
    <w:rsid w:val="0014786B"/>
    <w:rsid w:val="001505AC"/>
    <w:rsid w:val="00152F9C"/>
    <w:rsid w:val="00161489"/>
    <w:rsid w:val="00166858"/>
    <w:rsid w:val="0017112F"/>
    <w:rsid w:val="001874EC"/>
    <w:rsid w:val="001876B5"/>
    <w:rsid w:val="0019219D"/>
    <w:rsid w:val="001979B9"/>
    <w:rsid w:val="001C0E85"/>
    <w:rsid w:val="001C3E07"/>
    <w:rsid w:val="001C4D8F"/>
    <w:rsid w:val="001C6821"/>
    <w:rsid w:val="001D6443"/>
    <w:rsid w:val="001D7A9E"/>
    <w:rsid w:val="001E462F"/>
    <w:rsid w:val="001E4927"/>
    <w:rsid w:val="001E6D50"/>
    <w:rsid w:val="001F0EBF"/>
    <w:rsid w:val="001F2C96"/>
    <w:rsid w:val="001F45D5"/>
    <w:rsid w:val="001F6EEE"/>
    <w:rsid w:val="00200D7E"/>
    <w:rsid w:val="00203DCD"/>
    <w:rsid w:val="00204CA7"/>
    <w:rsid w:val="00210A5B"/>
    <w:rsid w:val="002116ED"/>
    <w:rsid w:val="002171AA"/>
    <w:rsid w:val="0021722D"/>
    <w:rsid w:val="002175D2"/>
    <w:rsid w:val="00220F7D"/>
    <w:rsid w:val="00226531"/>
    <w:rsid w:val="00227505"/>
    <w:rsid w:val="00230681"/>
    <w:rsid w:val="002420E4"/>
    <w:rsid w:val="002439F0"/>
    <w:rsid w:val="00244428"/>
    <w:rsid w:val="00244DA6"/>
    <w:rsid w:val="002478BC"/>
    <w:rsid w:val="0025607D"/>
    <w:rsid w:val="00256C68"/>
    <w:rsid w:val="002636CD"/>
    <w:rsid w:val="00265DE9"/>
    <w:rsid w:val="00266C6D"/>
    <w:rsid w:val="00272329"/>
    <w:rsid w:val="00272E08"/>
    <w:rsid w:val="00276B74"/>
    <w:rsid w:val="00276E25"/>
    <w:rsid w:val="0027710C"/>
    <w:rsid w:val="0028514B"/>
    <w:rsid w:val="00286F1D"/>
    <w:rsid w:val="0029624F"/>
    <w:rsid w:val="002962EF"/>
    <w:rsid w:val="002A0BD2"/>
    <w:rsid w:val="002A13A8"/>
    <w:rsid w:val="002B645C"/>
    <w:rsid w:val="002B697C"/>
    <w:rsid w:val="002D31BA"/>
    <w:rsid w:val="002D6722"/>
    <w:rsid w:val="002D67EC"/>
    <w:rsid w:val="002F30C1"/>
    <w:rsid w:val="003020E8"/>
    <w:rsid w:val="003029DE"/>
    <w:rsid w:val="00304E79"/>
    <w:rsid w:val="003067A9"/>
    <w:rsid w:val="0031232A"/>
    <w:rsid w:val="0031768B"/>
    <w:rsid w:val="00320C55"/>
    <w:rsid w:val="003252CD"/>
    <w:rsid w:val="003258F9"/>
    <w:rsid w:val="00334AD6"/>
    <w:rsid w:val="00337637"/>
    <w:rsid w:val="00344D20"/>
    <w:rsid w:val="00345B9C"/>
    <w:rsid w:val="00350BBC"/>
    <w:rsid w:val="00351A9B"/>
    <w:rsid w:val="0035482E"/>
    <w:rsid w:val="00360B7E"/>
    <w:rsid w:val="00362528"/>
    <w:rsid w:val="00362790"/>
    <w:rsid w:val="00370C30"/>
    <w:rsid w:val="00372724"/>
    <w:rsid w:val="00374E2B"/>
    <w:rsid w:val="0037677F"/>
    <w:rsid w:val="0038596D"/>
    <w:rsid w:val="00386F67"/>
    <w:rsid w:val="00387B4A"/>
    <w:rsid w:val="00392159"/>
    <w:rsid w:val="00393C83"/>
    <w:rsid w:val="003A3120"/>
    <w:rsid w:val="003A532B"/>
    <w:rsid w:val="003B6921"/>
    <w:rsid w:val="003B7680"/>
    <w:rsid w:val="003B7EE1"/>
    <w:rsid w:val="003C5EE7"/>
    <w:rsid w:val="003D5381"/>
    <w:rsid w:val="003D5925"/>
    <w:rsid w:val="003D6530"/>
    <w:rsid w:val="003D7FF0"/>
    <w:rsid w:val="003E6B96"/>
    <w:rsid w:val="003F0A54"/>
    <w:rsid w:val="00411957"/>
    <w:rsid w:val="00415748"/>
    <w:rsid w:val="00417505"/>
    <w:rsid w:val="00422341"/>
    <w:rsid w:val="00425035"/>
    <w:rsid w:val="0042668F"/>
    <w:rsid w:val="00437D9C"/>
    <w:rsid w:val="00442B04"/>
    <w:rsid w:val="00442B22"/>
    <w:rsid w:val="00444319"/>
    <w:rsid w:val="004465F6"/>
    <w:rsid w:val="004519C8"/>
    <w:rsid w:val="0045272F"/>
    <w:rsid w:val="00453CF9"/>
    <w:rsid w:val="00453DFA"/>
    <w:rsid w:val="00460DDF"/>
    <w:rsid w:val="004654BF"/>
    <w:rsid w:val="00466660"/>
    <w:rsid w:val="004705D5"/>
    <w:rsid w:val="00474B55"/>
    <w:rsid w:val="00482FA3"/>
    <w:rsid w:val="00483ACC"/>
    <w:rsid w:val="00491AB7"/>
    <w:rsid w:val="00493E91"/>
    <w:rsid w:val="004966B9"/>
    <w:rsid w:val="004A3E81"/>
    <w:rsid w:val="004A556B"/>
    <w:rsid w:val="004B1E42"/>
    <w:rsid w:val="004B5C63"/>
    <w:rsid w:val="004B6194"/>
    <w:rsid w:val="004C24F1"/>
    <w:rsid w:val="004C27FD"/>
    <w:rsid w:val="004C5868"/>
    <w:rsid w:val="004C7321"/>
    <w:rsid w:val="004D2E31"/>
    <w:rsid w:val="004D4304"/>
    <w:rsid w:val="004E7DA2"/>
    <w:rsid w:val="004F2EC6"/>
    <w:rsid w:val="0050331D"/>
    <w:rsid w:val="00505D8A"/>
    <w:rsid w:val="005105C6"/>
    <w:rsid w:val="00510C5B"/>
    <w:rsid w:val="00516CE5"/>
    <w:rsid w:val="00524592"/>
    <w:rsid w:val="0053107E"/>
    <w:rsid w:val="005354CA"/>
    <w:rsid w:val="00540C52"/>
    <w:rsid w:val="00545A69"/>
    <w:rsid w:val="00547DA4"/>
    <w:rsid w:val="00553272"/>
    <w:rsid w:val="005538CE"/>
    <w:rsid w:val="00556552"/>
    <w:rsid w:val="005652E8"/>
    <w:rsid w:val="00572755"/>
    <w:rsid w:val="00574412"/>
    <w:rsid w:val="0057532B"/>
    <w:rsid w:val="005769D9"/>
    <w:rsid w:val="00584766"/>
    <w:rsid w:val="00587818"/>
    <w:rsid w:val="0059007F"/>
    <w:rsid w:val="0059020E"/>
    <w:rsid w:val="00591944"/>
    <w:rsid w:val="00591F4B"/>
    <w:rsid w:val="005934CE"/>
    <w:rsid w:val="00595689"/>
    <w:rsid w:val="005A15C0"/>
    <w:rsid w:val="005A4C5E"/>
    <w:rsid w:val="005A5255"/>
    <w:rsid w:val="005B1F8F"/>
    <w:rsid w:val="005B7798"/>
    <w:rsid w:val="005C25CB"/>
    <w:rsid w:val="005D5F6B"/>
    <w:rsid w:val="005D7DD2"/>
    <w:rsid w:val="005E017B"/>
    <w:rsid w:val="005E0299"/>
    <w:rsid w:val="005E5CC1"/>
    <w:rsid w:val="005F4017"/>
    <w:rsid w:val="005F6A5A"/>
    <w:rsid w:val="00606AE8"/>
    <w:rsid w:val="0061096E"/>
    <w:rsid w:val="00611DBF"/>
    <w:rsid w:val="0061269D"/>
    <w:rsid w:val="00615B24"/>
    <w:rsid w:val="00616C56"/>
    <w:rsid w:val="00623E36"/>
    <w:rsid w:val="0063005F"/>
    <w:rsid w:val="00630798"/>
    <w:rsid w:val="0064208B"/>
    <w:rsid w:val="00651307"/>
    <w:rsid w:val="006544FE"/>
    <w:rsid w:val="006623E1"/>
    <w:rsid w:val="0066345E"/>
    <w:rsid w:val="0066401D"/>
    <w:rsid w:val="0066447A"/>
    <w:rsid w:val="00665336"/>
    <w:rsid w:val="00670500"/>
    <w:rsid w:val="00674235"/>
    <w:rsid w:val="00681FF0"/>
    <w:rsid w:val="00683F75"/>
    <w:rsid w:val="00694C74"/>
    <w:rsid w:val="006A53BF"/>
    <w:rsid w:val="006C167C"/>
    <w:rsid w:val="006C493C"/>
    <w:rsid w:val="006C6BC5"/>
    <w:rsid w:val="006C743C"/>
    <w:rsid w:val="006D789F"/>
    <w:rsid w:val="006E640F"/>
    <w:rsid w:val="006F3534"/>
    <w:rsid w:val="007025C2"/>
    <w:rsid w:val="007146B3"/>
    <w:rsid w:val="0071653D"/>
    <w:rsid w:val="00732B1C"/>
    <w:rsid w:val="00742711"/>
    <w:rsid w:val="0074418E"/>
    <w:rsid w:val="00745E1F"/>
    <w:rsid w:val="00746912"/>
    <w:rsid w:val="00747C43"/>
    <w:rsid w:val="00750D63"/>
    <w:rsid w:val="007546C7"/>
    <w:rsid w:val="00754E40"/>
    <w:rsid w:val="00761219"/>
    <w:rsid w:val="00766032"/>
    <w:rsid w:val="007662FC"/>
    <w:rsid w:val="00773015"/>
    <w:rsid w:val="00773087"/>
    <w:rsid w:val="00777C66"/>
    <w:rsid w:val="0078262B"/>
    <w:rsid w:val="00782DD7"/>
    <w:rsid w:val="007867F0"/>
    <w:rsid w:val="007949F1"/>
    <w:rsid w:val="00794F32"/>
    <w:rsid w:val="00796F45"/>
    <w:rsid w:val="007A1908"/>
    <w:rsid w:val="007A7786"/>
    <w:rsid w:val="007B688E"/>
    <w:rsid w:val="007B7E95"/>
    <w:rsid w:val="007C3618"/>
    <w:rsid w:val="007C371E"/>
    <w:rsid w:val="007C68C9"/>
    <w:rsid w:val="007C7B67"/>
    <w:rsid w:val="007D3651"/>
    <w:rsid w:val="007E269C"/>
    <w:rsid w:val="007E4D3F"/>
    <w:rsid w:val="007F2767"/>
    <w:rsid w:val="00806B07"/>
    <w:rsid w:val="00807EBC"/>
    <w:rsid w:val="0081111D"/>
    <w:rsid w:val="00817415"/>
    <w:rsid w:val="0082051E"/>
    <w:rsid w:val="00820713"/>
    <w:rsid w:val="00823E11"/>
    <w:rsid w:val="00825FE5"/>
    <w:rsid w:val="0083107B"/>
    <w:rsid w:val="008346C6"/>
    <w:rsid w:val="00840651"/>
    <w:rsid w:val="00841F3A"/>
    <w:rsid w:val="008463D2"/>
    <w:rsid w:val="00860B00"/>
    <w:rsid w:val="0086325D"/>
    <w:rsid w:val="00865498"/>
    <w:rsid w:val="00865F77"/>
    <w:rsid w:val="0086692A"/>
    <w:rsid w:val="008671FA"/>
    <w:rsid w:val="0087710F"/>
    <w:rsid w:val="00882B34"/>
    <w:rsid w:val="0088503F"/>
    <w:rsid w:val="00885F9F"/>
    <w:rsid w:val="00891F41"/>
    <w:rsid w:val="008935E8"/>
    <w:rsid w:val="008A0487"/>
    <w:rsid w:val="008A0513"/>
    <w:rsid w:val="008A1DD3"/>
    <w:rsid w:val="008A504B"/>
    <w:rsid w:val="008A7D52"/>
    <w:rsid w:val="008B265F"/>
    <w:rsid w:val="008C2931"/>
    <w:rsid w:val="008C574C"/>
    <w:rsid w:val="008D42C9"/>
    <w:rsid w:val="008D5A8F"/>
    <w:rsid w:val="008E1182"/>
    <w:rsid w:val="008E1885"/>
    <w:rsid w:val="008F4722"/>
    <w:rsid w:val="008F54F4"/>
    <w:rsid w:val="008F61A7"/>
    <w:rsid w:val="00906733"/>
    <w:rsid w:val="0090765E"/>
    <w:rsid w:val="00910BD6"/>
    <w:rsid w:val="00911B49"/>
    <w:rsid w:val="00921C77"/>
    <w:rsid w:val="009252E1"/>
    <w:rsid w:val="00930908"/>
    <w:rsid w:val="00930BC2"/>
    <w:rsid w:val="00931B40"/>
    <w:rsid w:val="009320F3"/>
    <w:rsid w:val="00932D4E"/>
    <w:rsid w:val="00935E1E"/>
    <w:rsid w:val="00936853"/>
    <w:rsid w:val="00942A19"/>
    <w:rsid w:val="00956549"/>
    <w:rsid w:val="009609C6"/>
    <w:rsid w:val="00963B2F"/>
    <w:rsid w:val="0096619D"/>
    <w:rsid w:val="00967C6A"/>
    <w:rsid w:val="00967EED"/>
    <w:rsid w:val="00971A03"/>
    <w:rsid w:val="00971CE4"/>
    <w:rsid w:val="00974C7F"/>
    <w:rsid w:val="009770E7"/>
    <w:rsid w:val="00977FA5"/>
    <w:rsid w:val="00981C7D"/>
    <w:rsid w:val="009926C7"/>
    <w:rsid w:val="00995D93"/>
    <w:rsid w:val="009970AC"/>
    <w:rsid w:val="009A4877"/>
    <w:rsid w:val="009B1A56"/>
    <w:rsid w:val="009B375C"/>
    <w:rsid w:val="009B402A"/>
    <w:rsid w:val="009B7BAE"/>
    <w:rsid w:val="009C1324"/>
    <w:rsid w:val="009C7D50"/>
    <w:rsid w:val="009C7D93"/>
    <w:rsid w:val="009D31A7"/>
    <w:rsid w:val="009D65DE"/>
    <w:rsid w:val="009E107D"/>
    <w:rsid w:val="009E232F"/>
    <w:rsid w:val="009E4D10"/>
    <w:rsid w:val="009E568C"/>
    <w:rsid w:val="009E6400"/>
    <w:rsid w:val="009F0E64"/>
    <w:rsid w:val="009F528A"/>
    <w:rsid w:val="00A10555"/>
    <w:rsid w:val="00A14F2F"/>
    <w:rsid w:val="00A16480"/>
    <w:rsid w:val="00A20ED1"/>
    <w:rsid w:val="00A22894"/>
    <w:rsid w:val="00A25DDC"/>
    <w:rsid w:val="00A26E6E"/>
    <w:rsid w:val="00A32F7D"/>
    <w:rsid w:val="00A355A5"/>
    <w:rsid w:val="00A36F9D"/>
    <w:rsid w:val="00A41571"/>
    <w:rsid w:val="00A41B4F"/>
    <w:rsid w:val="00A53BBF"/>
    <w:rsid w:val="00A62360"/>
    <w:rsid w:val="00A6481F"/>
    <w:rsid w:val="00A6662A"/>
    <w:rsid w:val="00A675E2"/>
    <w:rsid w:val="00A73592"/>
    <w:rsid w:val="00A75A7A"/>
    <w:rsid w:val="00A77FB9"/>
    <w:rsid w:val="00A80678"/>
    <w:rsid w:val="00A822DA"/>
    <w:rsid w:val="00A84C36"/>
    <w:rsid w:val="00A87661"/>
    <w:rsid w:val="00A93C30"/>
    <w:rsid w:val="00A94FE1"/>
    <w:rsid w:val="00A96248"/>
    <w:rsid w:val="00AA383A"/>
    <w:rsid w:val="00AA7F90"/>
    <w:rsid w:val="00AB00E0"/>
    <w:rsid w:val="00AB7B80"/>
    <w:rsid w:val="00AC4A77"/>
    <w:rsid w:val="00AD28DB"/>
    <w:rsid w:val="00AD4634"/>
    <w:rsid w:val="00AD4C19"/>
    <w:rsid w:val="00AD503B"/>
    <w:rsid w:val="00AD69A6"/>
    <w:rsid w:val="00AD79FC"/>
    <w:rsid w:val="00AE3129"/>
    <w:rsid w:val="00AE6875"/>
    <w:rsid w:val="00AF10AA"/>
    <w:rsid w:val="00AF110B"/>
    <w:rsid w:val="00AF1712"/>
    <w:rsid w:val="00AF1C47"/>
    <w:rsid w:val="00AF2056"/>
    <w:rsid w:val="00AF27C9"/>
    <w:rsid w:val="00AF2EEE"/>
    <w:rsid w:val="00AF5F88"/>
    <w:rsid w:val="00AF60E0"/>
    <w:rsid w:val="00AF7C20"/>
    <w:rsid w:val="00B00D96"/>
    <w:rsid w:val="00B0642C"/>
    <w:rsid w:val="00B07A06"/>
    <w:rsid w:val="00B11AFD"/>
    <w:rsid w:val="00B20BCC"/>
    <w:rsid w:val="00B22D91"/>
    <w:rsid w:val="00B26AAD"/>
    <w:rsid w:val="00B36EF4"/>
    <w:rsid w:val="00B37A70"/>
    <w:rsid w:val="00B425BB"/>
    <w:rsid w:val="00B44850"/>
    <w:rsid w:val="00B57DA9"/>
    <w:rsid w:val="00B57EE1"/>
    <w:rsid w:val="00B6052F"/>
    <w:rsid w:val="00B6733B"/>
    <w:rsid w:val="00B7079A"/>
    <w:rsid w:val="00B81140"/>
    <w:rsid w:val="00B87635"/>
    <w:rsid w:val="00B87E1E"/>
    <w:rsid w:val="00B908F7"/>
    <w:rsid w:val="00B90EEE"/>
    <w:rsid w:val="00B91C7A"/>
    <w:rsid w:val="00B925E0"/>
    <w:rsid w:val="00B9371B"/>
    <w:rsid w:val="00BA0000"/>
    <w:rsid w:val="00BA4C16"/>
    <w:rsid w:val="00BC5573"/>
    <w:rsid w:val="00BC7C02"/>
    <w:rsid w:val="00BD3411"/>
    <w:rsid w:val="00BE0891"/>
    <w:rsid w:val="00BE0A00"/>
    <w:rsid w:val="00BE1EB3"/>
    <w:rsid w:val="00BE2AC6"/>
    <w:rsid w:val="00BE4F7B"/>
    <w:rsid w:val="00BE54CB"/>
    <w:rsid w:val="00BF2556"/>
    <w:rsid w:val="00C03C72"/>
    <w:rsid w:val="00C11B8A"/>
    <w:rsid w:val="00C14729"/>
    <w:rsid w:val="00C14BBE"/>
    <w:rsid w:val="00C23901"/>
    <w:rsid w:val="00C26A2C"/>
    <w:rsid w:val="00C27BA9"/>
    <w:rsid w:val="00C34280"/>
    <w:rsid w:val="00C35F7A"/>
    <w:rsid w:val="00C40B59"/>
    <w:rsid w:val="00C4536D"/>
    <w:rsid w:val="00C566B9"/>
    <w:rsid w:val="00C56FB7"/>
    <w:rsid w:val="00C645D4"/>
    <w:rsid w:val="00C711D4"/>
    <w:rsid w:val="00C727C4"/>
    <w:rsid w:val="00C73CC5"/>
    <w:rsid w:val="00C80A66"/>
    <w:rsid w:val="00C81A40"/>
    <w:rsid w:val="00C81B00"/>
    <w:rsid w:val="00C830E2"/>
    <w:rsid w:val="00C86424"/>
    <w:rsid w:val="00C90144"/>
    <w:rsid w:val="00C9047E"/>
    <w:rsid w:val="00C92BBE"/>
    <w:rsid w:val="00C95172"/>
    <w:rsid w:val="00CA366B"/>
    <w:rsid w:val="00CA516B"/>
    <w:rsid w:val="00CA630B"/>
    <w:rsid w:val="00CB4F09"/>
    <w:rsid w:val="00CC0A3D"/>
    <w:rsid w:val="00CC1ADC"/>
    <w:rsid w:val="00CD181C"/>
    <w:rsid w:val="00CD3121"/>
    <w:rsid w:val="00CD4B24"/>
    <w:rsid w:val="00CD5E24"/>
    <w:rsid w:val="00CE4292"/>
    <w:rsid w:val="00CE50E0"/>
    <w:rsid w:val="00CE5C61"/>
    <w:rsid w:val="00CE62DC"/>
    <w:rsid w:val="00CF1EA7"/>
    <w:rsid w:val="00D0325B"/>
    <w:rsid w:val="00D149A9"/>
    <w:rsid w:val="00D206D2"/>
    <w:rsid w:val="00D2311C"/>
    <w:rsid w:val="00D2379E"/>
    <w:rsid w:val="00D24172"/>
    <w:rsid w:val="00D374F3"/>
    <w:rsid w:val="00D408A0"/>
    <w:rsid w:val="00D46F18"/>
    <w:rsid w:val="00D60B25"/>
    <w:rsid w:val="00D70454"/>
    <w:rsid w:val="00D77CE1"/>
    <w:rsid w:val="00D80030"/>
    <w:rsid w:val="00D830F4"/>
    <w:rsid w:val="00D908A8"/>
    <w:rsid w:val="00D952CA"/>
    <w:rsid w:val="00DA029E"/>
    <w:rsid w:val="00DA6B93"/>
    <w:rsid w:val="00DD15AA"/>
    <w:rsid w:val="00DD2AEC"/>
    <w:rsid w:val="00DD73A5"/>
    <w:rsid w:val="00DF7FDC"/>
    <w:rsid w:val="00E00EE5"/>
    <w:rsid w:val="00E024B3"/>
    <w:rsid w:val="00E038CE"/>
    <w:rsid w:val="00E03AF7"/>
    <w:rsid w:val="00E12D46"/>
    <w:rsid w:val="00E13795"/>
    <w:rsid w:val="00E152D8"/>
    <w:rsid w:val="00E177B8"/>
    <w:rsid w:val="00E21E2C"/>
    <w:rsid w:val="00E21EB8"/>
    <w:rsid w:val="00E22A1E"/>
    <w:rsid w:val="00E23995"/>
    <w:rsid w:val="00E249D7"/>
    <w:rsid w:val="00E2608D"/>
    <w:rsid w:val="00E3270C"/>
    <w:rsid w:val="00E33736"/>
    <w:rsid w:val="00E33F61"/>
    <w:rsid w:val="00E42BA4"/>
    <w:rsid w:val="00E4594B"/>
    <w:rsid w:val="00E46F92"/>
    <w:rsid w:val="00E54153"/>
    <w:rsid w:val="00E61B8C"/>
    <w:rsid w:val="00E70606"/>
    <w:rsid w:val="00E73ECF"/>
    <w:rsid w:val="00E73F35"/>
    <w:rsid w:val="00E865C5"/>
    <w:rsid w:val="00E97678"/>
    <w:rsid w:val="00EA1AC7"/>
    <w:rsid w:val="00EA2439"/>
    <w:rsid w:val="00EA414B"/>
    <w:rsid w:val="00EA47A8"/>
    <w:rsid w:val="00EA6A0E"/>
    <w:rsid w:val="00EA6ED5"/>
    <w:rsid w:val="00EC6DB5"/>
    <w:rsid w:val="00EC6E0B"/>
    <w:rsid w:val="00EC7058"/>
    <w:rsid w:val="00ED0DBE"/>
    <w:rsid w:val="00ED0F28"/>
    <w:rsid w:val="00ED1FC2"/>
    <w:rsid w:val="00ED73E5"/>
    <w:rsid w:val="00EE13B8"/>
    <w:rsid w:val="00EF0AD6"/>
    <w:rsid w:val="00F00C3E"/>
    <w:rsid w:val="00F018AE"/>
    <w:rsid w:val="00F03712"/>
    <w:rsid w:val="00F05673"/>
    <w:rsid w:val="00F1325D"/>
    <w:rsid w:val="00F2389C"/>
    <w:rsid w:val="00F253D8"/>
    <w:rsid w:val="00F30C63"/>
    <w:rsid w:val="00F31886"/>
    <w:rsid w:val="00F331FF"/>
    <w:rsid w:val="00F34D04"/>
    <w:rsid w:val="00F40543"/>
    <w:rsid w:val="00F50F51"/>
    <w:rsid w:val="00F53032"/>
    <w:rsid w:val="00F62799"/>
    <w:rsid w:val="00F63B2B"/>
    <w:rsid w:val="00F65065"/>
    <w:rsid w:val="00F653DB"/>
    <w:rsid w:val="00F736EF"/>
    <w:rsid w:val="00F738A0"/>
    <w:rsid w:val="00F73C57"/>
    <w:rsid w:val="00F8255D"/>
    <w:rsid w:val="00F82D04"/>
    <w:rsid w:val="00F84069"/>
    <w:rsid w:val="00F85300"/>
    <w:rsid w:val="00F87E40"/>
    <w:rsid w:val="00F922B9"/>
    <w:rsid w:val="00F965E6"/>
    <w:rsid w:val="00FA4368"/>
    <w:rsid w:val="00FB1359"/>
    <w:rsid w:val="00FB5DC6"/>
    <w:rsid w:val="00FC23A9"/>
    <w:rsid w:val="00FC4EE9"/>
    <w:rsid w:val="00FC621D"/>
    <w:rsid w:val="00FD07A0"/>
    <w:rsid w:val="00FD49A3"/>
    <w:rsid w:val="00FD7372"/>
    <w:rsid w:val="00FE2524"/>
    <w:rsid w:val="00FE4934"/>
    <w:rsid w:val="00FE54B9"/>
    <w:rsid w:val="00FE758E"/>
    <w:rsid w:val="00FF03DE"/>
    <w:rsid w:val="00FF5DAE"/>
    <w:rsid w:val="00FF7249"/>
    <w:rsid w:val="00FF7997"/>
    <w:rsid w:val="0163437D"/>
    <w:rsid w:val="039544C4"/>
    <w:rsid w:val="04520333"/>
    <w:rsid w:val="0C75235A"/>
    <w:rsid w:val="0E2C20AE"/>
    <w:rsid w:val="1259195F"/>
    <w:rsid w:val="148B303E"/>
    <w:rsid w:val="155817D0"/>
    <w:rsid w:val="16740DDE"/>
    <w:rsid w:val="16D8665D"/>
    <w:rsid w:val="17F52F7C"/>
    <w:rsid w:val="18755134"/>
    <w:rsid w:val="18F67A4D"/>
    <w:rsid w:val="1AB15B7B"/>
    <w:rsid w:val="1BA80DDC"/>
    <w:rsid w:val="1BF13D23"/>
    <w:rsid w:val="1C653709"/>
    <w:rsid w:val="22034A36"/>
    <w:rsid w:val="230B435D"/>
    <w:rsid w:val="23841D9E"/>
    <w:rsid w:val="268B69DB"/>
    <w:rsid w:val="26A2348A"/>
    <w:rsid w:val="28DD31A4"/>
    <w:rsid w:val="2BAD4C65"/>
    <w:rsid w:val="2D0A1978"/>
    <w:rsid w:val="2DDA2C43"/>
    <w:rsid w:val="2E6826E4"/>
    <w:rsid w:val="30F461C3"/>
    <w:rsid w:val="327A72EC"/>
    <w:rsid w:val="341F51CF"/>
    <w:rsid w:val="345A242E"/>
    <w:rsid w:val="34B54CCB"/>
    <w:rsid w:val="363D74F1"/>
    <w:rsid w:val="36BD4E83"/>
    <w:rsid w:val="381F29EF"/>
    <w:rsid w:val="382218C1"/>
    <w:rsid w:val="3C992037"/>
    <w:rsid w:val="3E4B5F85"/>
    <w:rsid w:val="3F7513B0"/>
    <w:rsid w:val="40702766"/>
    <w:rsid w:val="40B616A6"/>
    <w:rsid w:val="41A251BD"/>
    <w:rsid w:val="42AE4FCA"/>
    <w:rsid w:val="430932FC"/>
    <w:rsid w:val="44970043"/>
    <w:rsid w:val="46491C34"/>
    <w:rsid w:val="4AD2776A"/>
    <w:rsid w:val="4B363991"/>
    <w:rsid w:val="4CAA1488"/>
    <w:rsid w:val="5170737B"/>
    <w:rsid w:val="51AF1785"/>
    <w:rsid w:val="544D5D03"/>
    <w:rsid w:val="569E53F0"/>
    <w:rsid w:val="59FA02DA"/>
    <w:rsid w:val="5C903FB2"/>
    <w:rsid w:val="5EC613A3"/>
    <w:rsid w:val="62813F0C"/>
    <w:rsid w:val="635621F4"/>
    <w:rsid w:val="665B17F4"/>
    <w:rsid w:val="674E4A88"/>
    <w:rsid w:val="67EC0A08"/>
    <w:rsid w:val="682C40F0"/>
    <w:rsid w:val="6D1541E0"/>
    <w:rsid w:val="6F1946B3"/>
    <w:rsid w:val="71F07ED0"/>
    <w:rsid w:val="77450B49"/>
    <w:rsid w:val="79EE396B"/>
    <w:rsid w:val="7A0D7D4F"/>
    <w:rsid w:val="7A67797C"/>
    <w:rsid w:val="7C71175D"/>
    <w:rsid w:val="7CBA01D9"/>
    <w:rsid w:val="7E87329E"/>
    <w:rsid w:val="7F5762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uiPriority w:val="99"/>
    <w:rPr>
      <w:sz w:val="18"/>
      <w:szCs w:val="18"/>
    </w:rPr>
  </w:style>
  <w:style w:type="paragraph" w:styleId="3">
    <w:name w:val="footer"/>
    <w:basedOn w:val="1"/>
    <w:link w:val="16"/>
    <w:qFormat/>
    <w:uiPriority w:val="99"/>
    <w:pPr>
      <w:tabs>
        <w:tab w:val="center" w:pos="4153"/>
        <w:tab w:val="right" w:pos="8306"/>
      </w:tabs>
      <w:snapToGrid w:val="0"/>
      <w:jc w:val="left"/>
    </w:pPr>
    <w:rPr>
      <w:sz w:val="18"/>
      <w:szCs w:val="18"/>
    </w:rPr>
  </w:style>
  <w:style w:type="paragraph" w:styleId="4">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9">
    <w:name w:val="章标题"/>
    <w:next w:val="1"/>
    <w:qFormat/>
    <w:uiPriority w:val="99"/>
    <w:pPr>
      <w:numPr>
        <w:ilvl w:val="1"/>
        <w:numId w:val="1"/>
      </w:numPr>
      <w:spacing w:beforeLines="50" w:afterLines="50"/>
      <w:jc w:val="both"/>
      <w:outlineLvl w:val="1"/>
    </w:pPr>
    <w:rPr>
      <w:rFonts w:ascii="黑体" w:hAnsi="Times New Roman" w:eastAsia="黑体" w:cs="黑体"/>
      <w:sz w:val="21"/>
      <w:szCs w:val="21"/>
      <w:lang w:val="en-US" w:eastAsia="zh-CN" w:bidi="ar-SA"/>
    </w:rPr>
  </w:style>
  <w:style w:type="paragraph" w:customStyle="1" w:styleId="10">
    <w:name w:val="一级条标题"/>
    <w:next w:val="1"/>
    <w:qFormat/>
    <w:uiPriority w:val="99"/>
    <w:pPr>
      <w:numPr>
        <w:ilvl w:val="2"/>
        <w:numId w:val="1"/>
      </w:numPr>
      <w:outlineLvl w:val="2"/>
    </w:pPr>
    <w:rPr>
      <w:rFonts w:ascii="Times New Roman" w:hAnsi="Times New Roman" w:eastAsia="黑体" w:cs="Times New Roman"/>
      <w:sz w:val="21"/>
      <w:szCs w:val="21"/>
      <w:lang w:val="en-US" w:eastAsia="zh-CN" w:bidi="ar-SA"/>
    </w:rPr>
  </w:style>
  <w:style w:type="paragraph" w:customStyle="1" w:styleId="11">
    <w:name w:val="二级条标题"/>
    <w:basedOn w:val="10"/>
    <w:next w:val="1"/>
    <w:qFormat/>
    <w:uiPriority w:val="99"/>
    <w:pPr>
      <w:numPr>
        <w:ilvl w:val="3"/>
      </w:numPr>
      <w:outlineLvl w:val="3"/>
    </w:pPr>
  </w:style>
  <w:style w:type="paragraph" w:customStyle="1" w:styleId="12">
    <w:name w:val="三级条标题"/>
    <w:basedOn w:val="11"/>
    <w:next w:val="1"/>
    <w:qFormat/>
    <w:uiPriority w:val="99"/>
    <w:pPr>
      <w:numPr>
        <w:ilvl w:val="4"/>
      </w:numPr>
      <w:outlineLvl w:val="4"/>
    </w:pPr>
  </w:style>
  <w:style w:type="paragraph" w:customStyle="1" w:styleId="13">
    <w:name w:val="四级条标题"/>
    <w:basedOn w:val="12"/>
    <w:next w:val="1"/>
    <w:qFormat/>
    <w:uiPriority w:val="99"/>
    <w:pPr>
      <w:numPr>
        <w:ilvl w:val="5"/>
      </w:numPr>
      <w:outlineLvl w:val="5"/>
    </w:pPr>
  </w:style>
  <w:style w:type="paragraph" w:customStyle="1" w:styleId="14">
    <w:name w:val="五级条标题"/>
    <w:basedOn w:val="13"/>
    <w:next w:val="1"/>
    <w:qFormat/>
    <w:uiPriority w:val="99"/>
    <w:pPr>
      <w:numPr>
        <w:ilvl w:val="6"/>
      </w:numPr>
      <w:outlineLvl w:val="6"/>
    </w:pPr>
  </w:style>
  <w:style w:type="character" w:customStyle="1" w:styleId="15">
    <w:name w:val="页眉 Char"/>
    <w:basedOn w:val="7"/>
    <w:link w:val="4"/>
    <w:semiHidden/>
    <w:qFormat/>
    <w:locked/>
    <w:uiPriority w:val="99"/>
    <w:rPr>
      <w:sz w:val="18"/>
      <w:szCs w:val="18"/>
    </w:rPr>
  </w:style>
  <w:style w:type="character" w:customStyle="1" w:styleId="16">
    <w:name w:val="页脚 Char"/>
    <w:basedOn w:val="7"/>
    <w:link w:val="3"/>
    <w:qFormat/>
    <w:locked/>
    <w:uiPriority w:val="99"/>
    <w:rPr>
      <w:sz w:val="18"/>
      <w:szCs w:val="18"/>
    </w:rPr>
  </w:style>
  <w:style w:type="paragraph" w:customStyle="1" w:styleId="17">
    <w:name w:val="段"/>
    <w:link w:val="18"/>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18">
    <w:name w:val="段 Char"/>
    <w:basedOn w:val="7"/>
    <w:link w:val="17"/>
    <w:qFormat/>
    <w:locked/>
    <w:uiPriority w:val="99"/>
    <w:rPr>
      <w:rFonts w:ascii="宋体" w:hAnsi="Times New Roman" w:cs="宋体"/>
      <w:sz w:val="21"/>
      <w:szCs w:val="21"/>
      <w:lang w:val="en-US" w:eastAsia="zh-CN"/>
    </w:rPr>
  </w:style>
  <w:style w:type="character" w:customStyle="1" w:styleId="19">
    <w:name w:val="批注框文本 Char"/>
    <w:basedOn w:val="7"/>
    <w:link w:val="2"/>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7C23D-278D-4824-A6DD-F12DC10E705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11</Pages>
  <Words>751</Words>
  <Characters>4284</Characters>
  <Lines>35</Lines>
  <Paragraphs>10</Paragraphs>
  <TotalTime>4</TotalTime>
  <ScaleCrop>false</ScaleCrop>
  <LinksUpToDate>false</LinksUpToDate>
  <CharactersWithSpaces>5025</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2020-04-09T09:34:00Z</dcterms:created>
  <dc:creator>四川省质量技术监督局：彭丽娟</dc:creator>
  <cp:lastModifiedBy>Lenovo</cp:lastModifiedBy>
  <cp:lastPrinted>2018-06-07T01:24:00Z</cp:lastPrinted>
  <dcterms:modified xsi:type="dcterms:W3CDTF">2020-09-16T07:12:39Z</dcterms:modified>
  <dc:title>《羌族服饰》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