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val="0"/>
        <w:topLinePunct/>
        <w:bidi w:val="0"/>
        <w:snapToGrid/>
        <w:spacing w:line="640" w:lineRule="exact"/>
        <w:jc w:val="center"/>
        <w:textAlignment w:val="auto"/>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lang w:eastAsia="zh-CN"/>
        </w:rPr>
        <w:t>四川省老鹰水库饮用水水源保护条例</w:t>
      </w:r>
    </w:p>
    <w:p>
      <w:pPr>
        <w:keepNext w:val="0"/>
        <w:keepLines w:val="0"/>
        <w:pageBreakBefore w:val="0"/>
        <w:kinsoku/>
        <w:overflowPunct w:val="0"/>
        <w:topLinePunct/>
        <w:bidi w:val="0"/>
        <w:snapToGrid/>
        <w:spacing w:line="640" w:lineRule="exact"/>
        <w:jc w:val="center"/>
        <w:textAlignment w:val="auto"/>
        <w:rPr>
          <w:rFonts w:hint="eastAsia" w:ascii="方正楷体简体" w:hAnsi="方正楷体简体" w:eastAsia="方正楷体简体" w:cs="方正楷体简体"/>
          <w:b/>
          <w:bCs w:val="0"/>
          <w:sz w:val="32"/>
          <w:szCs w:val="32"/>
          <w:lang w:eastAsia="zh-CN"/>
        </w:rPr>
      </w:pPr>
      <w:r>
        <w:rPr>
          <w:rFonts w:hint="eastAsia" w:ascii="方正楷体简体" w:hAnsi="方正楷体简体" w:eastAsia="方正楷体简体" w:cs="方正楷体简体"/>
          <w:b/>
          <w:bCs w:val="0"/>
          <w:sz w:val="32"/>
          <w:szCs w:val="32"/>
          <w:lang w:eastAsia="zh-CN"/>
        </w:rPr>
        <w:t>（草案）</w:t>
      </w:r>
    </w:p>
    <w:p>
      <w:pPr>
        <w:keepNext w:val="0"/>
        <w:keepLines w:val="0"/>
        <w:pageBreakBefore w:val="0"/>
        <w:kinsoku/>
        <w:bidi w:val="0"/>
        <w:snapToGrid/>
        <w:spacing w:line="640" w:lineRule="exact"/>
        <w:ind w:firstLine="640" w:firstLineChars="200"/>
        <w:textAlignment w:val="auto"/>
        <w:rPr>
          <w:rFonts w:hint="default" w:ascii="Times New Roman" w:hAnsi="Times New Roman" w:cs="Times New Roman"/>
          <w:color w:val="000000"/>
          <w:sz w:val="32"/>
          <w:szCs w:val="32"/>
          <w:lang w:eastAsia="zh-CN"/>
        </w:rPr>
      </w:pP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color w:val="000000"/>
          <w:sz w:val="32"/>
          <w:szCs w:val="32"/>
        </w:rPr>
        <w:t>第一章 总 则</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第一条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为加强老鹰水库饮用水水源保护，保障饮用水水源安全</w:t>
      </w:r>
      <w:r>
        <w:rPr>
          <w:rFonts w:hint="default" w:ascii="Times New Roman" w:hAnsi="Times New Roman" w:eastAsia="仿宋_GB2312" w:cs="Times New Roman"/>
          <w:b/>
          <w:bCs/>
          <w:color w:val="000000"/>
          <w:sz w:val="32"/>
          <w:szCs w:val="32"/>
          <w:lang w:val="en-US" w:eastAsia="zh-CN"/>
        </w:rPr>
        <w:t>和</w:t>
      </w:r>
      <w:r>
        <w:rPr>
          <w:rFonts w:hint="default" w:ascii="Times New Roman" w:hAnsi="Times New Roman" w:eastAsia="仿宋_GB2312" w:cs="Times New Roman"/>
          <w:b/>
          <w:bCs/>
          <w:color w:val="000000"/>
          <w:sz w:val="32"/>
          <w:szCs w:val="32"/>
        </w:rPr>
        <w:t xml:space="preserve">公众健康，根据《中华人民共和国环境保护法》《中华人民共和国水污染防治法》《中华人民共和国水法》等有关法律、法规，结合本省实际，制定本条例。 </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本条例适用于老鹰水库饮用水水源保护及相关管理活动。</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rPr>
        <w:t>第三条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老鹰水库饮用水水源实行饮用水水源保护区制度</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按照国家</w:t>
      </w:r>
      <w:r>
        <w:rPr>
          <w:rFonts w:hint="default" w:ascii="Times New Roman" w:hAnsi="Times New Roman" w:eastAsia="仿宋_GB2312" w:cs="Times New Roman"/>
          <w:b/>
          <w:bCs/>
          <w:color w:val="000000"/>
          <w:sz w:val="32"/>
          <w:szCs w:val="32"/>
          <w:lang w:eastAsia="zh-CN"/>
        </w:rPr>
        <w:t>和省</w:t>
      </w:r>
      <w:r>
        <w:rPr>
          <w:rFonts w:hint="default" w:ascii="Times New Roman" w:hAnsi="Times New Roman" w:eastAsia="仿宋_GB2312" w:cs="Times New Roman"/>
          <w:b/>
          <w:bCs/>
          <w:color w:val="000000"/>
          <w:sz w:val="32"/>
          <w:szCs w:val="32"/>
        </w:rPr>
        <w:t>有关规定划定保护区和准保护区，保护区分为一级保护区和二级保护区。</w:t>
      </w:r>
      <w:r>
        <w:rPr>
          <w:rFonts w:hint="default" w:ascii="Times New Roman" w:hAnsi="Times New Roman" w:eastAsia="仿宋_GB2312" w:cs="Times New Roman"/>
          <w:b/>
          <w:bCs/>
          <w:color w:val="000000"/>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成都市、资阳市人民政府对本行政区域内老鹰水库饮用水水源的水环境质量负责，指导、统筹、协调老鹰水库饮用水水源保护工作。成都市、资阳市人民政府建立老鹰水库饮用水水源保护协调机制，协商处理有关重大问题，协商不成的，由省人民政府协调解决。</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老鹰水库饮用水水源保护区和准保护区所</w:t>
      </w:r>
      <w:bookmarkStart w:id="0" w:name="_GoBack"/>
      <w:bookmarkEnd w:id="0"/>
      <w:r>
        <w:rPr>
          <w:rFonts w:hint="default" w:ascii="Times New Roman" w:hAnsi="Times New Roman" w:eastAsia="仿宋_GB2312" w:cs="Times New Roman"/>
          <w:b/>
          <w:bCs/>
          <w:color w:val="000000"/>
          <w:sz w:val="32"/>
          <w:szCs w:val="32"/>
        </w:rPr>
        <w:t>在地（以下简称水源所在地）的县（市、区）人民政府负责本行政区域内老鹰水库饮用水水源保护和管理的具体工作。</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rPr>
        <w:t>水源所在地乡（镇）人民政府应当在县（市、区）人民政府有关部门的指导下，做好本辖区内老鹰水库饮用水水源保护工作，加强水源保护法治宣传和隐患排查</w:t>
      </w:r>
      <w:r>
        <w:rPr>
          <w:rFonts w:hint="eastAsia"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发现存在环境问题的，应当及时处理或者向有关部门报告。</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水源所在地的村（居）民委员会协助地方各级人民政府做好老鹰水库饮用水水源保护工作。</w:t>
      </w:r>
    </w:p>
    <w:p>
      <w:pPr>
        <w:pStyle w:val="7"/>
        <w:keepNext w:val="0"/>
        <w:keepLines w:val="0"/>
        <w:pageBreakBefore w:val="0"/>
        <w:widowControl w:val="0"/>
        <w:kinsoku/>
        <w:wordWrap/>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sz w:val="32"/>
          <w:szCs w:val="32"/>
          <w:lang w:val="en-US" w:eastAsia="zh-CN"/>
        </w:rPr>
        <w:t xml:space="preserve">第四条  </w:t>
      </w:r>
      <w:r>
        <w:rPr>
          <w:rFonts w:hint="default" w:ascii="Times New Roman" w:hAnsi="Times New Roman" w:eastAsia="仿宋_GB2312" w:cs="Times New Roman"/>
          <w:b/>
          <w:bCs/>
          <w:color w:val="000000"/>
          <w:sz w:val="32"/>
          <w:szCs w:val="32"/>
        </w:rPr>
        <w:t>成都市、资阳市以及水源所在地的县（市、区）、乡（镇）人民政府应当将老鹰水库饮用水水源保护和管理纳入河长制，各级河长负责组织领导相应范围内老鹰水库饮用水水源的水资源保护、水域岸线管理、水污染防治、水环境治理等工作。</w:t>
      </w:r>
      <w:r>
        <w:rPr>
          <w:rFonts w:hint="default" w:ascii="Times New Roman" w:hAnsi="Times New Roman" w:eastAsia="仿宋_GB2312" w:cs="Times New Roman"/>
          <w:b/>
          <w:bCs/>
          <w:color w:val="000000"/>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五</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地方人民政府生态环境主管部门对本行政区域老鹰水库饮用水水源污染防治实施统一监督管理。</w:t>
      </w:r>
      <w:r>
        <w:rPr>
          <w:rFonts w:hint="default" w:ascii="Times New Roman" w:hAnsi="Times New Roman" w:eastAsia="仿宋_GB2312" w:cs="Times New Roman"/>
          <w:b/>
          <w:bCs/>
          <w:color w:val="000000"/>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水源所在地的县级以上地方人民政府发展改革、公安、财政、自然资源、住房城乡建设、交通运输、水行政、农业农村、卫生健康、林草等主管部门以及老鹰水库管理单位按照各自职责做好老鹰水库饮用水水源保护的相关工作。</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六</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省人民政府生态环境主管部门</w:t>
      </w:r>
      <w:r>
        <w:rPr>
          <w:rFonts w:hint="default" w:ascii="Times New Roman" w:hAnsi="Times New Roman" w:eastAsia="仿宋_GB2312" w:cs="Times New Roman"/>
          <w:b/>
          <w:bCs/>
          <w:color w:val="000000"/>
          <w:sz w:val="32"/>
          <w:szCs w:val="32"/>
          <w:lang w:eastAsia="zh-CN"/>
        </w:rPr>
        <w:t>指导</w:t>
      </w:r>
      <w:r>
        <w:rPr>
          <w:rFonts w:hint="default" w:ascii="Times New Roman" w:hAnsi="Times New Roman" w:eastAsia="仿宋_GB2312" w:cs="Times New Roman"/>
          <w:b/>
          <w:bCs/>
          <w:color w:val="000000"/>
          <w:sz w:val="32"/>
          <w:szCs w:val="32"/>
        </w:rPr>
        <w:t>成都市、资阳市人民政府</w:t>
      </w:r>
      <w:r>
        <w:rPr>
          <w:rFonts w:hint="default" w:ascii="Times New Roman" w:hAnsi="Times New Roman" w:eastAsia="仿宋_GB2312" w:cs="Times New Roman"/>
          <w:b/>
          <w:bCs/>
          <w:color w:val="000000"/>
          <w:sz w:val="32"/>
          <w:szCs w:val="32"/>
          <w:lang w:val="en-US" w:eastAsia="zh-CN"/>
        </w:rPr>
        <w:t>生态环境主管部门共同</w:t>
      </w:r>
      <w:r>
        <w:rPr>
          <w:rFonts w:hint="default" w:ascii="Times New Roman" w:hAnsi="Times New Roman" w:eastAsia="仿宋_GB2312" w:cs="Times New Roman"/>
          <w:b/>
          <w:bCs/>
          <w:color w:val="000000"/>
          <w:sz w:val="32"/>
          <w:szCs w:val="32"/>
        </w:rPr>
        <w:t>编制老鹰水库饮用水水源保护专项规划，</w:t>
      </w:r>
      <w:r>
        <w:rPr>
          <w:rFonts w:hint="default" w:ascii="Times New Roman" w:hAnsi="Times New Roman" w:eastAsia="仿宋_GB2312" w:cs="Times New Roman"/>
          <w:b/>
          <w:bCs/>
          <w:color w:val="000000"/>
          <w:sz w:val="32"/>
          <w:szCs w:val="32"/>
          <w:lang w:val="en-US" w:eastAsia="zh-CN"/>
        </w:rPr>
        <w:t>经</w:t>
      </w:r>
      <w:r>
        <w:rPr>
          <w:rFonts w:hint="default" w:ascii="Times New Roman" w:hAnsi="Times New Roman" w:eastAsia="仿宋_GB2312" w:cs="Times New Roman"/>
          <w:b/>
          <w:bCs/>
          <w:color w:val="000000"/>
          <w:sz w:val="32"/>
          <w:szCs w:val="32"/>
          <w:lang w:eastAsia="zh-CN"/>
        </w:rPr>
        <w:t>成都市、资阳市人民</w:t>
      </w:r>
      <w:r>
        <w:rPr>
          <w:rFonts w:hint="default" w:ascii="Times New Roman" w:hAnsi="Times New Roman" w:eastAsia="仿宋_GB2312" w:cs="Times New Roman"/>
          <w:b/>
          <w:bCs/>
          <w:color w:val="000000"/>
          <w:sz w:val="32"/>
          <w:szCs w:val="32"/>
        </w:rPr>
        <w:t>政府批准后实施。</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水源所在地的县（市、区）人民政府应当根据老鹰水库饮用水水源保护专项规划，组织有关行政主管部门制定具体实施方案，开展水污染防治、水资源保护和水生态修复工程，持续改善水环境质量。</w:t>
      </w:r>
      <w:r>
        <w:rPr>
          <w:rFonts w:hint="default" w:ascii="Times New Roman" w:hAnsi="Times New Roman" w:eastAsia="仿宋_GB2312" w:cs="Times New Roman"/>
          <w:b/>
          <w:bCs/>
          <w:color w:val="000000"/>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七</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水源所在地的县级以上地方人民政府应当加大对老鹰水库饮用水水源保护的</w:t>
      </w:r>
      <w:r>
        <w:rPr>
          <w:rFonts w:hint="eastAsia" w:ascii="Times New Roman" w:hAnsi="Times New Roman" w:eastAsia="仿宋_GB2312" w:cs="Times New Roman"/>
          <w:b/>
          <w:bCs/>
          <w:color w:val="000000"/>
          <w:sz w:val="32"/>
          <w:szCs w:val="32"/>
          <w:lang w:eastAsia="zh-CN"/>
        </w:rPr>
        <w:t>资金</w:t>
      </w:r>
      <w:r>
        <w:rPr>
          <w:rFonts w:hint="default" w:ascii="Times New Roman" w:hAnsi="Times New Roman" w:eastAsia="仿宋_GB2312" w:cs="Times New Roman"/>
          <w:b/>
          <w:bCs/>
          <w:color w:val="000000"/>
          <w:sz w:val="32"/>
          <w:szCs w:val="32"/>
        </w:rPr>
        <w:t>投入</w:t>
      </w:r>
      <w:r>
        <w:rPr>
          <w:rFonts w:hint="eastAsia" w:ascii="Times New Roman" w:hAnsi="Times New Roman" w:eastAsia="仿宋_GB2312" w:cs="Times New Roman"/>
          <w:b/>
          <w:bCs/>
          <w:color w:val="000000"/>
          <w:sz w:val="32"/>
          <w:szCs w:val="32"/>
          <w:lang w:eastAsia="zh-CN"/>
        </w:rPr>
        <w:t>力度</w:t>
      </w:r>
      <w:r>
        <w:rPr>
          <w:rFonts w:hint="default" w:ascii="Times New Roman" w:hAnsi="Times New Roman" w:eastAsia="仿宋_GB2312" w:cs="Times New Roman"/>
          <w:b/>
          <w:bCs/>
          <w:color w:val="000000"/>
          <w:sz w:val="32"/>
          <w:szCs w:val="32"/>
        </w:rPr>
        <w:t>，将老鹰水库饮用水水源保护经费纳入本级财政预算，建立健全经费管理、使用、监督机制，加强资金绩效管理，提高资金使用效益，鼓励和引导社会资本参与老鹰水库饮用水水源保护工作。</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八</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老鹰水库饮用水水源的水质应当符合国家相关标准，鼓励水源所在地各级人民政府依法采取多种措施，提升水源水质。</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九</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成都市、资阳市以及水源所在地的县（市、区）人民政府及其有关部门应当组织开展老鹰水库饮用水水源保护宣传教育，提高社会公众自觉保护和参与治理的意识。</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任何单位和个人都有保护老鹰水库饮用水水源的义务，并有权对污染损害老鹰水库饮用水水源的行为进行</w:t>
      </w:r>
      <w:r>
        <w:rPr>
          <w:rFonts w:hint="default" w:ascii="Times New Roman" w:hAnsi="Times New Roman" w:eastAsia="仿宋_GB2312" w:cs="Times New Roman"/>
          <w:b/>
          <w:bCs/>
          <w:color w:val="000000"/>
          <w:sz w:val="32"/>
          <w:szCs w:val="32"/>
          <w:lang w:val="en-US" w:eastAsia="zh-CN"/>
        </w:rPr>
        <w:t>制止</w:t>
      </w:r>
      <w:r>
        <w:rPr>
          <w:rFonts w:hint="default" w:ascii="Times New Roman" w:hAnsi="Times New Roman" w:eastAsia="仿宋_GB2312" w:cs="Times New Roman"/>
          <w:b/>
          <w:bCs/>
          <w:color w:val="000000"/>
          <w:sz w:val="32"/>
          <w:szCs w:val="32"/>
        </w:rPr>
        <w:t>和</w:t>
      </w:r>
      <w:r>
        <w:rPr>
          <w:rFonts w:hint="default" w:ascii="Times New Roman" w:hAnsi="Times New Roman" w:eastAsia="仿宋_GB2312" w:cs="Times New Roman"/>
          <w:b/>
          <w:bCs/>
          <w:color w:val="000000"/>
          <w:sz w:val="32"/>
          <w:szCs w:val="32"/>
          <w:lang w:val="en-US" w:eastAsia="zh-CN"/>
        </w:rPr>
        <w:t>举报</w:t>
      </w:r>
      <w:r>
        <w:rPr>
          <w:rFonts w:hint="default" w:ascii="Times New Roman" w:hAnsi="Times New Roman" w:eastAsia="仿宋_GB2312" w:cs="Times New Roman"/>
          <w:b/>
          <w:bCs/>
          <w:color w:val="000000"/>
          <w:sz w:val="32"/>
          <w:szCs w:val="32"/>
        </w:rPr>
        <w:t>。</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新闻媒体应当加强老鹰水库饮用水水源保护的公益宣传和舆论监督。</w:t>
      </w: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default" w:ascii="Times New Roman" w:hAnsi="Times New Roman" w:eastAsia="仿宋_GB2312" w:cs="Times New Roman"/>
          <w:b/>
          <w:bCs/>
          <w:color w:val="000000"/>
          <w:sz w:val="32"/>
          <w:szCs w:val="32"/>
        </w:rPr>
      </w:pP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default" w:ascii="方正黑体简体" w:hAnsi="方正黑体简体" w:eastAsia="方正黑体简体" w:cs="方正黑体简体"/>
          <w:b w:val="0"/>
          <w:bCs w:val="0"/>
          <w:color w:val="000000"/>
          <w:sz w:val="32"/>
          <w:szCs w:val="32"/>
          <w:lang w:eastAsia="zh-CN"/>
        </w:rPr>
      </w:pPr>
      <w:r>
        <w:rPr>
          <w:rFonts w:hint="default" w:ascii="方正黑体简体" w:hAnsi="方正黑体简体" w:eastAsia="方正黑体简体" w:cs="方正黑体简体"/>
          <w:b w:val="0"/>
          <w:bCs w:val="0"/>
          <w:color w:val="000000"/>
          <w:sz w:val="32"/>
          <w:szCs w:val="32"/>
          <w:lang w:eastAsia="zh-CN"/>
        </w:rPr>
        <w:t>第二章 保护范围</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十</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因公共利益需要、自然环境发生变化等情况需要调整或者取消</w:t>
      </w:r>
      <w:r>
        <w:rPr>
          <w:rFonts w:hint="default" w:ascii="Times New Roman" w:hAnsi="Times New Roman" w:eastAsia="仿宋_GB2312" w:cs="Times New Roman"/>
          <w:b/>
          <w:bCs/>
          <w:color w:val="000000"/>
          <w:sz w:val="32"/>
          <w:szCs w:val="32"/>
          <w:lang w:val="en-US" w:eastAsia="zh-CN"/>
        </w:rPr>
        <w:t>饮用水水源</w:t>
      </w:r>
      <w:r>
        <w:rPr>
          <w:rFonts w:hint="default" w:ascii="Times New Roman" w:hAnsi="Times New Roman" w:eastAsia="仿宋_GB2312" w:cs="Times New Roman"/>
          <w:b/>
          <w:bCs/>
          <w:color w:val="000000"/>
          <w:sz w:val="32"/>
          <w:szCs w:val="32"/>
        </w:rPr>
        <w:t>保护区和准保护区的，由成都市、资阳市人民政府组织对调整或者取消的必要性、可行性进行论证后，协商提出方案，</w:t>
      </w:r>
      <w:r>
        <w:rPr>
          <w:rFonts w:hint="default" w:ascii="Times New Roman" w:hAnsi="Times New Roman" w:eastAsia="仿宋_GB2312" w:cs="Times New Roman"/>
          <w:b/>
          <w:bCs/>
          <w:color w:val="000000"/>
          <w:sz w:val="32"/>
          <w:szCs w:val="32"/>
          <w:lang w:eastAsia="zh-CN"/>
        </w:rPr>
        <w:t>依法定</w:t>
      </w:r>
      <w:r>
        <w:rPr>
          <w:rFonts w:hint="default" w:ascii="Times New Roman" w:hAnsi="Times New Roman" w:eastAsia="仿宋_GB2312" w:cs="Times New Roman"/>
          <w:b/>
          <w:bCs/>
          <w:color w:val="000000"/>
          <w:sz w:val="32"/>
          <w:szCs w:val="32"/>
        </w:rPr>
        <w:t>程序报批。</w:t>
      </w:r>
      <w:r>
        <w:rPr>
          <w:rFonts w:hint="default" w:ascii="Times New Roman" w:hAnsi="Times New Roman" w:eastAsia="仿宋_GB2312" w:cs="Times New Roman"/>
          <w:b/>
          <w:bCs/>
          <w:color w:val="000000"/>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成都市、资阳市人民政府应当在保护区的边界设立明确的地理界标、明显的交通警示牌和宣传牌。标志应当符合国家有关图形标志标准。</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水源所在地的县（市、区）人民政府应当在老鹰水库饮用水水源一级保护区设置隔离防护、视频监控等设施，实行封闭式管理。</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禁止任何单位和个人擅自改变、破坏老鹰水库饮用水水源保护区的地理界标、交通警示牌、宣传牌和隔离防护、视频监控等设施。</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color w:val="000000"/>
          <w:sz w:val="32"/>
          <w:szCs w:val="32"/>
        </w:rPr>
        <w:t>成都市、资阳市人民政府应当加强老鹰水库饮用水水源保护区</w:t>
      </w:r>
      <w:r>
        <w:rPr>
          <w:rFonts w:hint="default" w:ascii="Times New Roman" w:hAnsi="Times New Roman" w:eastAsia="仿宋_GB2312" w:cs="Times New Roman"/>
          <w:b/>
          <w:bCs/>
          <w:color w:val="000000"/>
          <w:sz w:val="32"/>
          <w:szCs w:val="32"/>
          <w:lang w:val="en-US" w:eastAsia="zh-CN"/>
        </w:rPr>
        <w:t>和</w:t>
      </w:r>
      <w:r>
        <w:rPr>
          <w:rFonts w:hint="default" w:ascii="Times New Roman" w:hAnsi="Times New Roman" w:eastAsia="仿宋_GB2312" w:cs="Times New Roman"/>
          <w:b/>
          <w:bCs/>
          <w:color w:val="000000"/>
          <w:sz w:val="32"/>
          <w:szCs w:val="32"/>
        </w:rPr>
        <w:t>准保护区外调水设施沿线的污染综合治理。</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新建调水工程项目应当采用封闭式管道调水方式。已建成并投入使用的调水工程，采用地表径流调水方式的，应当按照统一规划、分步实施的原则，采取干渠水量直接入库并逐步改用封闭式管道调水</w:t>
      </w:r>
      <w:r>
        <w:rPr>
          <w:rFonts w:hint="eastAsia" w:ascii="Times New Roman" w:hAnsi="Times New Roman" w:eastAsia="仿宋_GB2312" w:cs="Times New Roman"/>
          <w:b/>
          <w:bCs/>
          <w:color w:val="000000"/>
          <w:sz w:val="32"/>
          <w:szCs w:val="32"/>
          <w:lang w:eastAsia="zh-CN"/>
        </w:rPr>
        <w:t>的</w:t>
      </w:r>
      <w:r>
        <w:rPr>
          <w:rFonts w:hint="default" w:ascii="Times New Roman" w:hAnsi="Times New Roman" w:eastAsia="仿宋_GB2312" w:cs="Times New Roman"/>
          <w:b/>
          <w:bCs/>
          <w:color w:val="000000"/>
          <w:sz w:val="32"/>
          <w:szCs w:val="32"/>
        </w:rPr>
        <w:t>方式。</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FF0000"/>
          <w:sz w:val="32"/>
          <w:szCs w:val="32"/>
        </w:rPr>
      </w:pP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default" w:ascii="方正黑体简体" w:hAnsi="方正黑体简体" w:eastAsia="方正黑体简体" w:cs="方正黑体简体"/>
          <w:b w:val="0"/>
          <w:bCs w:val="0"/>
          <w:color w:val="000000"/>
          <w:sz w:val="32"/>
          <w:szCs w:val="32"/>
          <w:lang w:eastAsia="zh-CN"/>
        </w:rPr>
      </w:pPr>
      <w:r>
        <w:rPr>
          <w:rFonts w:hint="default" w:ascii="方正黑体简体" w:hAnsi="方正黑体简体" w:eastAsia="方正黑体简体" w:cs="方正黑体简体"/>
          <w:b w:val="0"/>
          <w:bCs w:val="0"/>
          <w:color w:val="000000"/>
          <w:sz w:val="32"/>
          <w:szCs w:val="32"/>
          <w:lang w:eastAsia="zh-CN"/>
        </w:rPr>
        <w:t>第三章  保护措施</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color w:val="000000"/>
          <w:sz w:val="32"/>
          <w:szCs w:val="32"/>
        </w:rPr>
        <w:t>老鹰水库饮用水水源保护区、准保护区内</w:t>
      </w:r>
      <w:r>
        <w:rPr>
          <w:rFonts w:hint="default" w:ascii="Times New Roman" w:hAnsi="Times New Roman" w:eastAsia="仿宋_GB2312" w:cs="Times New Roman"/>
          <w:b/>
          <w:bCs/>
          <w:color w:val="000000"/>
          <w:sz w:val="32"/>
          <w:szCs w:val="32"/>
          <w:lang w:val="en-US" w:eastAsia="zh-CN"/>
        </w:rPr>
        <w:t>除</w:t>
      </w:r>
      <w:r>
        <w:rPr>
          <w:rFonts w:hint="default" w:ascii="Times New Roman" w:hAnsi="Times New Roman" w:eastAsia="仿宋_GB2312" w:cs="Times New Roman"/>
          <w:b/>
          <w:bCs/>
          <w:color w:val="000000"/>
          <w:sz w:val="32"/>
          <w:szCs w:val="32"/>
        </w:rPr>
        <w:t>应当遵守国家、省有关法律、法规的规定</w:t>
      </w:r>
      <w:r>
        <w:rPr>
          <w:rFonts w:hint="default" w:ascii="Times New Roman" w:hAnsi="Times New Roman" w:eastAsia="仿宋_GB2312" w:cs="Times New Roman"/>
          <w:b/>
          <w:bCs/>
          <w:color w:val="000000"/>
          <w:sz w:val="32"/>
          <w:szCs w:val="32"/>
          <w:lang w:val="en-US" w:eastAsia="zh-CN"/>
        </w:rPr>
        <w:t>外，还应当遵守下列规定：</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禁止在二级保护区库区水域范围内</w:t>
      </w:r>
      <w:r>
        <w:rPr>
          <w:rFonts w:hint="default" w:ascii="Times New Roman" w:hAnsi="Times New Roman" w:eastAsia="仿宋_GB2312" w:cs="Times New Roman"/>
          <w:b/>
          <w:bCs/>
          <w:color w:val="000000"/>
          <w:sz w:val="32"/>
          <w:szCs w:val="32"/>
          <w:lang w:eastAsia="zh-CN"/>
        </w:rPr>
        <w:t>进行</w:t>
      </w:r>
      <w:r>
        <w:rPr>
          <w:rFonts w:hint="default" w:ascii="Times New Roman" w:hAnsi="Times New Roman" w:eastAsia="仿宋_GB2312" w:cs="Times New Roman"/>
          <w:b/>
          <w:bCs/>
          <w:color w:val="000000"/>
          <w:sz w:val="32"/>
          <w:szCs w:val="32"/>
        </w:rPr>
        <w:t>游泳、垂钓等污染饮用水水源的活动</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lang w:val="en-US" w:eastAsia="zh-CN"/>
        </w:rPr>
        <w:t>二</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禁止在二级保护区内消落区从事农作物种植或者畜禽、水产养殖活动</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eastAsia="zh-CN"/>
        </w:rPr>
        <w:t>（三）</w:t>
      </w:r>
      <w:r>
        <w:rPr>
          <w:rFonts w:hint="default" w:ascii="Times New Roman" w:hAnsi="Times New Roman" w:eastAsia="仿宋_GB2312" w:cs="Times New Roman"/>
          <w:b/>
          <w:bCs/>
          <w:color w:val="000000"/>
          <w:sz w:val="32"/>
          <w:szCs w:val="32"/>
        </w:rPr>
        <w:t>从事农业生产的单位和个人应当采取措施，加强对保护区、准保护区内入库渠道、河道滩地沿线区域秸秆等农作物废弃物的堆放管理，防止冲刷进入河道、水库。</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val="en-US" w:eastAsia="zh-CN"/>
        </w:rPr>
        <w:t>四</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成都市、资阳市以及水源所在地的县（市、区）人民政府应当根据国土空间规划，并结合水源保护的要求，严格控制老鹰水库饮用水水源保护区内的规划用地</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rPr>
        <w:t>项目建设。</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color w:val="000000"/>
          <w:sz w:val="32"/>
          <w:szCs w:val="32"/>
        </w:rPr>
        <w:t>水源所在地的县（市、区）人民政府应当建设生活垃圾分类投放、收集和运输系统，</w:t>
      </w:r>
      <w:r>
        <w:rPr>
          <w:rFonts w:hint="eastAsia" w:ascii="Times New Roman" w:hAnsi="Times New Roman" w:eastAsia="仿宋_GB2312" w:cs="Times New Roman"/>
          <w:b/>
          <w:bCs/>
          <w:color w:val="000000"/>
          <w:sz w:val="32"/>
          <w:szCs w:val="32"/>
          <w:lang w:eastAsia="zh-CN"/>
        </w:rPr>
        <w:t>将生活垃圾</w:t>
      </w:r>
      <w:r>
        <w:rPr>
          <w:rFonts w:hint="default" w:ascii="Times New Roman" w:hAnsi="Times New Roman" w:eastAsia="仿宋_GB2312" w:cs="Times New Roman"/>
          <w:b/>
          <w:bCs/>
          <w:color w:val="000000"/>
          <w:sz w:val="32"/>
          <w:szCs w:val="32"/>
          <w:lang w:eastAsia="zh-CN"/>
        </w:rPr>
        <w:t>集中运输至</w:t>
      </w:r>
      <w:r>
        <w:rPr>
          <w:rFonts w:hint="default" w:ascii="Times New Roman" w:hAnsi="Times New Roman" w:eastAsia="仿宋_GB2312" w:cs="Times New Roman"/>
          <w:b/>
          <w:bCs/>
          <w:color w:val="000000"/>
          <w:sz w:val="32"/>
          <w:szCs w:val="32"/>
        </w:rPr>
        <w:t>老鹰水库饮用水水源保护区、准保护区外</w:t>
      </w:r>
      <w:r>
        <w:rPr>
          <w:rFonts w:hint="default" w:ascii="Times New Roman" w:hAnsi="Times New Roman" w:eastAsia="仿宋_GB2312" w:cs="Times New Roman"/>
          <w:b/>
          <w:bCs/>
          <w:color w:val="000000"/>
          <w:sz w:val="32"/>
          <w:szCs w:val="32"/>
          <w:lang w:eastAsia="zh-CN"/>
        </w:rPr>
        <w:t>进行</w:t>
      </w:r>
      <w:r>
        <w:rPr>
          <w:rFonts w:hint="default" w:ascii="Times New Roman" w:hAnsi="Times New Roman" w:eastAsia="仿宋_GB2312" w:cs="Times New Roman"/>
          <w:b/>
          <w:bCs/>
          <w:color w:val="000000"/>
          <w:sz w:val="32"/>
          <w:szCs w:val="32"/>
        </w:rPr>
        <w:t>无害化处理。垃圾收集、运输设备应当采取防渗漏措施。</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产生垃圾的单位和个人应当将垃圾分类投放到指定的收集点。</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color w:val="000000"/>
          <w:sz w:val="32"/>
          <w:szCs w:val="32"/>
        </w:rPr>
        <w:t>水源所在地的县（市、区）人民政府应当在水源所在地人口集中地区依法配套建设污水处理设施、配套管网以及污泥无害化处理设施，统一收集、处理污水，并在老鹰水库饮用水水源保护区外达标排放。</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水源所在地的县（市、区）、乡（镇）人民政府应当加强农村生活污水无害化处理设施建设，因地制宜建设净化沼气池、人工湿地、生物滤池等污水处理设施，对未纳入城镇污水集中处理设施的农村生活污水进行就近净化处理并达标排放。</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val="en-US" w:eastAsia="zh-CN"/>
        </w:rPr>
        <w:t>七</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成都市、资阳市以及水源所在地的县（市、区）人民政府农业农村主管部门应当指导农</w:t>
      </w:r>
      <w:r>
        <w:rPr>
          <w:rFonts w:hint="default" w:ascii="Times New Roman" w:hAnsi="Times New Roman" w:eastAsia="仿宋_GB2312" w:cs="Times New Roman"/>
          <w:b/>
          <w:bCs/>
          <w:color w:val="000000"/>
          <w:sz w:val="32"/>
          <w:szCs w:val="32"/>
          <w:lang w:val="en-US" w:eastAsia="zh-CN"/>
        </w:rPr>
        <w:t>业生产经营者科学种植和养殖，合理施用农药化肥等农业投入品，科学处置农用</w:t>
      </w:r>
      <w:r>
        <w:rPr>
          <w:rFonts w:hint="default" w:ascii="Times New Roman" w:hAnsi="Times New Roman" w:eastAsia="仿宋_GB2312" w:cs="Times New Roman"/>
          <w:b/>
          <w:bCs/>
          <w:color w:val="000000"/>
          <w:sz w:val="32"/>
          <w:szCs w:val="32"/>
        </w:rPr>
        <w:t>薄膜、农作物秸秆等农业废弃物，防止农业面源污染。</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二级保护区、准保护区内畜禽散养农</w:t>
      </w:r>
      <w:r>
        <w:rPr>
          <w:rFonts w:hint="default" w:ascii="Times New Roman" w:hAnsi="Times New Roman" w:eastAsia="仿宋_GB2312" w:cs="Times New Roman"/>
          <w:b/>
          <w:bCs/>
          <w:color w:val="000000"/>
          <w:sz w:val="32"/>
          <w:szCs w:val="32"/>
          <w:lang w:val="en-US" w:eastAsia="zh-CN"/>
        </w:rPr>
        <w:t>户</w:t>
      </w:r>
      <w:r>
        <w:rPr>
          <w:rFonts w:hint="default" w:ascii="Times New Roman" w:hAnsi="Times New Roman" w:eastAsia="仿宋_GB2312" w:cs="Times New Roman"/>
          <w:b/>
          <w:bCs/>
          <w:color w:val="000000"/>
          <w:sz w:val="32"/>
          <w:szCs w:val="32"/>
        </w:rPr>
        <w:t>根据种养平衡要求实现畜禽粪便、污水资源化利用，并采取措施防止畜禽进入库区水域。</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left="10" w:leftChars="0" w:firstLine="662" w:firstLineChars="206"/>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 xml:space="preserve">第十八条  </w:t>
      </w:r>
      <w:r>
        <w:rPr>
          <w:rFonts w:hint="default" w:ascii="Times New Roman" w:hAnsi="Times New Roman" w:eastAsia="仿宋_GB2312" w:cs="Times New Roman"/>
          <w:b/>
          <w:bCs/>
          <w:color w:val="000000"/>
          <w:sz w:val="32"/>
          <w:szCs w:val="32"/>
        </w:rPr>
        <w:t>成都市、资阳市以及水源所在地的县（市、区）人民政府林草主管部门应当会同自然资源主管部门对划入永久基本农田的25度以上坡耕地，依法定程序报批调整为非永久基本农田后纳入退耕还林还草范围；老鹰水库饮用水水源保护区内，农户自愿退耕的15度以上非永久基本农田坡耕地，通过申报实施退耕还林还草，恢复林草植被。</w:t>
      </w:r>
      <w:r>
        <w:rPr>
          <w:rFonts w:hint="default" w:ascii="Times New Roman" w:hAnsi="Times New Roman" w:eastAsia="仿宋_GB2312" w:cs="Times New Roman"/>
          <w:b/>
          <w:bCs/>
          <w:color w:val="000000"/>
          <w:sz w:val="32"/>
          <w:szCs w:val="32"/>
          <w:lang w:val="en-US" w:eastAsia="zh-CN"/>
        </w:rPr>
        <w:t xml:space="preserve"> </w:t>
      </w:r>
    </w:p>
    <w:p>
      <w:pPr>
        <w:keepNext w:val="0"/>
        <w:keepLines w:val="0"/>
        <w:pageBreakBefore w:val="0"/>
        <w:widowControl w:val="0"/>
        <w:numPr>
          <w:ilvl w:val="0"/>
          <w:numId w:val="0"/>
        </w:numPr>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第十</w:t>
      </w:r>
      <w:r>
        <w:rPr>
          <w:rFonts w:hint="default" w:ascii="Times New Roman" w:hAnsi="Times New Roman" w:eastAsia="仿宋_GB2312" w:cs="Times New Roman"/>
          <w:b/>
          <w:bCs/>
          <w:color w:val="000000"/>
          <w:sz w:val="32"/>
          <w:szCs w:val="32"/>
          <w:lang w:val="en-US" w:eastAsia="zh-CN"/>
        </w:rPr>
        <w:t>九</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成都市、资阳市以及水源所在地的县（市、区）人民政府应当在保护区的库岸岸线和溪流入库口等重要区域组织建设生态治理工程，采取治理措施，拦截陆域面源污染，净化入库溪流水质。</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二十</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水源所在地的地方人民政府应当采取截污治污、底泥清淤、垃圾清理等措施对水库水环境系统进行综合治理，种植有利于净化水体的水生植物，放养有利于净化水体的鱼类和底栖动物，保持库区生物多样性，增强和改善水生态系统的自我净化功能。</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strike w:val="0"/>
          <w:dstrike w:val="0"/>
          <w:color w:val="000000"/>
          <w:sz w:val="32"/>
          <w:szCs w:val="32"/>
        </w:rPr>
        <w:t>成都市、资阳市以及</w:t>
      </w:r>
      <w:r>
        <w:rPr>
          <w:rFonts w:hint="default" w:ascii="Times New Roman" w:hAnsi="Times New Roman" w:eastAsia="仿宋_GB2312" w:cs="Times New Roman"/>
          <w:b/>
          <w:bCs/>
          <w:color w:val="000000"/>
          <w:sz w:val="32"/>
          <w:szCs w:val="32"/>
        </w:rPr>
        <w:t>水源所在地的县（市、区）人民政府应当</w:t>
      </w:r>
      <w:r>
        <w:rPr>
          <w:rFonts w:hint="default" w:ascii="Times New Roman" w:hAnsi="Times New Roman" w:eastAsia="仿宋_GB2312" w:cs="Times New Roman"/>
          <w:b/>
          <w:bCs/>
          <w:color w:val="000000"/>
          <w:sz w:val="32"/>
          <w:szCs w:val="32"/>
          <w:lang w:eastAsia="zh-CN"/>
        </w:rPr>
        <w:t>组织有关单位</w:t>
      </w:r>
      <w:r>
        <w:rPr>
          <w:rFonts w:hint="default" w:ascii="Times New Roman" w:hAnsi="Times New Roman" w:eastAsia="仿宋_GB2312" w:cs="Times New Roman"/>
          <w:b/>
          <w:bCs/>
          <w:color w:val="000000"/>
          <w:sz w:val="32"/>
          <w:szCs w:val="32"/>
        </w:rPr>
        <w:t>在老鹰水库饮用水水源保护区内的县乡公路、省道、国道、高速公路设置交通警示标志牌</w:t>
      </w:r>
      <w:r>
        <w:rPr>
          <w:rFonts w:hint="default" w:ascii="Times New Roman" w:hAnsi="Times New Roman" w:eastAsia="仿宋_GB2312" w:cs="Times New Roman"/>
          <w:b/>
          <w:bCs/>
          <w:color w:val="000000"/>
          <w:sz w:val="32"/>
          <w:szCs w:val="32"/>
          <w:lang w:eastAsia="zh-CN"/>
        </w:rPr>
        <w:t>，并按照相关规定设置必要的防护设施</w:t>
      </w:r>
      <w:r>
        <w:rPr>
          <w:rFonts w:hint="default" w:ascii="Times New Roman" w:hAnsi="Times New Roman" w:eastAsia="仿宋_GB2312" w:cs="Times New Roman"/>
          <w:b/>
          <w:bCs/>
          <w:color w:val="000000"/>
          <w:sz w:val="32"/>
          <w:szCs w:val="32"/>
        </w:rPr>
        <w:t>。</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val="en-US" w:eastAsia="zh-CN"/>
        </w:rPr>
        <w:t>二</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老鹰水库饮用水水源保护区、准保护区水域内航行、停泊、作业的船舶，应当遵守国家和省饮用水水源保护区、准保护区水域有关污染防治的规定、标准。</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在保护区内的动力型水上交通工具禁止使用非清洁能源。</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val="en-US" w:eastAsia="zh-CN"/>
        </w:rPr>
        <w:t>三</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水源所在地的县（市、区）人民政府应当组织发展改革、经济和信息化、自然资源、生态环境、水行政、应急等主管部门，定期对老鹰水库饮用水水源保护区、准保护区及其上游和周边区域开展风险源调查评估，建立一源一档的风险源档案，实行动态分类管理，筛查可能存在的污染风险因素，并采取相应的风险防范措施。</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风险源档案内的企事业单位应当定期开展风险排查，防止污染物、泄露物等排向外环境或者渗入到地下。</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val="en-US" w:eastAsia="zh-CN"/>
        </w:rPr>
        <w:t>四</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资阳市人民政府应当会同成都市人民政府建立健全老鹰水库饮用水水源保护生态补偿机制，综合平衡饮用水水源使用、保护等各方利益，按照谁受益谁补偿的原则，明确补偿方式、范围和对象，确定补偿标准。</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补偿标准的确定应当以老鹰水库饮用水水源水质、水量、保护区所在辖区面积作为主要参考因素，统筹考虑因保护对水源所在地经济社会发展造成的影响等因素。</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对因农业面源污染防治、秸秆清运、库岸岸线生态隔离带建设等导致收入减少或者支出增加的</w:t>
      </w:r>
      <w:r>
        <w:rPr>
          <w:rFonts w:hint="default" w:ascii="Times New Roman" w:hAnsi="Times New Roman" w:eastAsia="仿宋_GB2312" w:cs="Times New Roman"/>
          <w:b/>
          <w:bCs/>
          <w:color w:val="000000"/>
          <w:sz w:val="32"/>
          <w:szCs w:val="32"/>
          <w:lang w:val="en-US" w:eastAsia="zh-CN"/>
        </w:rPr>
        <w:t>居民</w:t>
      </w:r>
      <w:r>
        <w:rPr>
          <w:rFonts w:hint="default" w:ascii="Times New Roman" w:hAnsi="Times New Roman" w:eastAsia="仿宋_GB2312" w:cs="Times New Roman"/>
          <w:b/>
          <w:bCs/>
          <w:color w:val="000000"/>
          <w:sz w:val="32"/>
          <w:szCs w:val="32"/>
        </w:rPr>
        <w:t>，由所在县（市、区）人民政府给予补贴和扶持，并根据需求开展职业技能培训。</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对承担老鹰水库饮用水水源保护职责或者重要生态功能的有关乡（镇）人民政府、村（社</w:t>
      </w:r>
      <w:r>
        <w:rPr>
          <w:rFonts w:hint="default" w:ascii="Times New Roman" w:hAnsi="Times New Roman" w:eastAsia="仿宋_GB2312" w:cs="Times New Roman"/>
          <w:b/>
          <w:bCs/>
          <w:color w:val="000000"/>
          <w:sz w:val="32"/>
          <w:szCs w:val="32"/>
          <w:lang w:val="en-US" w:eastAsia="zh-CN"/>
        </w:rPr>
        <w:t>区</w:t>
      </w:r>
      <w:r>
        <w:rPr>
          <w:rFonts w:hint="default" w:ascii="Times New Roman" w:hAnsi="Times New Roman" w:eastAsia="仿宋_GB2312" w:cs="Times New Roman"/>
          <w:b/>
          <w:bCs/>
          <w:color w:val="000000"/>
          <w:sz w:val="32"/>
          <w:szCs w:val="32"/>
        </w:rPr>
        <w:t>），成都市、资阳市人民政府以及水源所在地的县（市、区）人民政府应当在资金投入、基础设施建设等方面给予倾斜和支持。</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第二十</w:t>
      </w:r>
      <w:r>
        <w:rPr>
          <w:rFonts w:hint="default" w:ascii="Times New Roman" w:hAnsi="Times New Roman" w:eastAsia="仿宋_GB2312" w:cs="Times New Roman"/>
          <w:b/>
          <w:bCs/>
          <w:color w:val="000000"/>
          <w:sz w:val="32"/>
          <w:szCs w:val="32"/>
          <w:lang w:val="en-US" w:eastAsia="zh-CN"/>
        </w:rPr>
        <w:t>五</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成都市、资阳市以及水源所在地的县（市、区）人民政府应当鼓励、支持金融机构针对老鹰水库饮用水水源保护建立绿色信贷服务体系，并通过财政补贴、投资补助等方式支持库区生态保护项目发展。</w:t>
      </w:r>
    </w:p>
    <w:p>
      <w:pPr>
        <w:keepNext w:val="0"/>
        <w:keepLines w:val="0"/>
        <w:pageBreakBefore w:val="0"/>
        <w:widowControl w:val="0"/>
        <w:kinsoku/>
        <w:wordWrap/>
        <w:overflowPunct w:val="0"/>
        <w:topLinePunct/>
        <w:autoSpaceDE/>
        <w:autoSpaceDN/>
        <w:bidi w:val="0"/>
        <w:adjustRightInd/>
        <w:snapToGrid/>
        <w:spacing w:line="600" w:lineRule="exact"/>
        <w:ind w:firstLine="3213" w:firstLineChars="1000"/>
        <w:textAlignment w:val="auto"/>
        <w:rPr>
          <w:rFonts w:hint="default" w:ascii="Times New Roman" w:hAnsi="Times New Roman" w:eastAsia="仿宋_GB2312" w:cs="Times New Roman"/>
          <w:b/>
          <w:bCs/>
          <w:color w:val="000000"/>
          <w:sz w:val="32"/>
          <w:szCs w:val="32"/>
        </w:rPr>
      </w:pP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default" w:ascii="方正黑体简体" w:hAnsi="方正黑体简体" w:eastAsia="方正黑体简体" w:cs="方正黑体简体"/>
          <w:b w:val="0"/>
          <w:bCs w:val="0"/>
          <w:color w:val="000000"/>
          <w:sz w:val="32"/>
          <w:szCs w:val="32"/>
          <w:lang w:eastAsia="zh-CN"/>
        </w:rPr>
      </w:pPr>
      <w:r>
        <w:rPr>
          <w:rFonts w:hint="default" w:ascii="方正黑体简体" w:hAnsi="方正黑体简体" w:eastAsia="方正黑体简体" w:cs="方正黑体简体"/>
          <w:b w:val="0"/>
          <w:bCs w:val="0"/>
          <w:color w:val="000000"/>
          <w:sz w:val="32"/>
          <w:szCs w:val="32"/>
          <w:lang w:eastAsia="zh-CN"/>
        </w:rPr>
        <w:t>第四章  监督管理</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二十六</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成都市、资阳市以及水源所在地的县（市、区）人民政府应当加强本行政区域内的水质管理，开展预警监控，保障出境水质达到相应标准要求。</w:t>
      </w:r>
      <w:r>
        <w:rPr>
          <w:rFonts w:hint="default" w:ascii="Times New Roman" w:hAnsi="Times New Roman" w:eastAsia="仿宋_GB2312" w:cs="Times New Roman"/>
          <w:b/>
          <w:bCs/>
          <w:color w:val="000000"/>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省人民政府生态环境主管部门应当组织成都市、资阳市人民政府在主要入库河流、调水干渠合理布设监测断面，定期开展水质监测，</w:t>
      </w:r>
      <w:r>
        <w:rPr>
          <w:rFonts w:hint="default" w:ascii="Times New Roman" w:hAnsi="Times New Roman" w:eastAsia="仿宋_GB2312" w:cs="Times New Roman"/>
          <w:b/>
          <w:bCs/>
          <w:color w:val="000000"/>
          <w:sz w:val="32"/>
          <w:szCs w:val="32"/>
          <w:lang w:val="en-US" w:eastAsia="zh-CN"/>
        </w:rPr>
        <w:t>并将</w:t>
      </w:r>
      <w:r>
        <w:rPr>
          <w:rFonts w:hint="default" w:ascii="Times New Roman" w:hAnsi="Times New Roman" w:eastAsia="仿宋_GB2312" w:cs="Times New Roman"/>
          <w:b/>
          <w:bCs/>
          <w:color w:val="000000"/>
          <w:sz w:val="32"/>
          <w:szCs w:val="32"/>
        </w:rPr>
        <w:t>交界断面水质监测数据作为生态补偿的主要依据。</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二十七</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成都市、资阳市以及水源所在地的县（市、区）人民政府水行政主管部门应当维持水库合理水位，确保饮用水取水位和取水量满足取水要求，并保障基本生态用水，维护水体的生态功能。</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省人民政府水行政主管部门在跨区域水量调度和分配中，应当根据汛前消落期、汛后蓄水期和枯水运用期的水量合理制订库区水资源调度方案，因枯水季节或者重大旱情等造成水量不能满足取水要求的，应当优先保证饮用水取水。</w:t>
      </w:r>
    </w:p>
    <w:p>
      <w:pPr>
        <w:keepNext w:val="0"/>
        <w:keepLines w:val="0"/>
        <w:pageBreakBefore w:val="0"/>
        <w:widowControl w:val="0"/>
        <w:kinsoku/>
        <w:wordWrap/>
        <w:overflowPunct w:val="0"/>
        <w:topLinePunct/>
        <w:autoSpaceDE/>
        <w:autoSpaceDN/>
        <w:bidi w:val="0"/>
        <w:adjustRightInd/>
        <w:snapToGrid/>
        <w:spacing w:line="600" w:lineRule="exact"/>
        <w:ind w:firstLine="64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二十八</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饮用水供水单位应当建立来水水质监测体系，保障取水供水设施正常运行，确保供水安全；编制本单位的应急预案，储备应急物资；发现老鹰水库饮用水水源水质有异常情况时，立即向事故发生地的县（市、区）人民政府及其生态环境、</w:t>
      </w:r>
      <w:r>
        <w:rPr>
          <w:rFonts w:hint="default" w:ascii="Times New Roman" w:hAnsi="Times New Roman" w:eastAsia="仿宋_GB2312" w:cs="Times New Roman"/>
          <w:b/>
          <w:bCs/>
          <w:color w:val="000000"/>
          <w:sz w:val="32"/>
          <w:szCs w:val="32"/>
          <w:lang w:val="en-US" w:eastAsia="zh-CN"/>
        </w:rPr>
        <w:t>住房城乡建设、</w:t>
      </w:r>
      <w:r>
        <w:rPr>
          <w:rFonts w:hint="default" w:ascii="Times New Roman" w:hAnsi="Times New Roman" w:eastAsia="仿宋_GB2312" w:cs="Times New Roman"/>
          <w:b/>
          <w:bCs/>
          <w:color w:val="000000"/>
          <w:sz w:val="32"/>
          <w:szCs w:val="32"/>
        </w:rPr>
        <w:t>水行政、卫生健康等主管部门报告。</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二十九</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水源所在地的县（市、区）人民政府应当统筹本行政区域内的老鹰水库饮用水水源保护工作，组织公安、自然资源、生态环境、水行政、农业农村、林草等主管部门建立老鹰水库饮用水水源保护联动协调机制，定期开展联合执法和巡查，发现问题及时处理。</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乡（镇）人民政府负责在二级保护区陆域、准保护区以及准保护区之外的调水设施沿线区域开展日常巡查，发现问题及时处理或者向有关部门报告。</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老鹰水库管理单位在水源一级保护区、二级保护区水域内开展日常巡查，发现问题</w:t>
      </w:r>
      <w:r>
        <w:rPr>
          <w:rFonts w:hint="default" w:ascii="Times New Roman" w:hAnsi="Times New Roman" w:eastAsia="仿宋_GB2312" w:cs="Times New Roman"/>
          <w:b/>
          <w:bCs/>
          <w:color w:val="000000"/>
          <w:sz w:val="32"/>
          <w:szCs w:val="32"/>
          <w:lang w:eastAsia="zh-CN"/>
        </w:rPr>
        <w:t>应当</w:t>
      </w:r>
      <w:r>
        <w:rPr>
          <w:rFonts w:hint="default" w:ascii="Times New Roman" w:hAnsi="Times New Roman" w:eastAsia="仿宋_GB2312" w:cs="Times New Roman"/>
          <w:b/>
          <w:bCs/>
          <w:color w:val="000000"/>
          <w:sz w:val="32"/>
          <w:szCs w:val="32"/>
        </w:rPr>
        <w:t>及时劝阻、制止。对劝阻或制止无效的，应当及时向有关部门报告。有关单位或者个人对巡查工作应当予以配合</w:t>
      </w:r>
      <w:r>
        <w:rPr>
          <w:rFonts w:hint="default" w:ascii="Times New Roman" w:hAnsi="Times New Roman" w:eastAsia="仿宋_GB2312" w:cs="Times New Roman"/>
          <w:b/>
          <w:bCs/>
          <w:color w:val="000000"/>
          <w:sz w:val="32"/>
          <w:szCs w:val="32"/>
          <w:lang w:eastAsia="zh-CN"/>
        </w:rPr>
        <w:t>。</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在保护区、准保护区和准保护区外调水设施沿线发现的不能确定责任人的污染源，由所在地的县（市、区）人民政府组织有关部门予以处理。</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第三十条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成都市、资阳市以及水源所在地的县（市、区）人民政府应当建立部门联动和跨区域联防联控协作机制，实现老鹰水库饮用水水源监测预警、水量、水质信息等数据共享。</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三十一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成都市、资阳市以及水源所在地的县（市、区）人民政府及其有关部门</w:t>
      </w:r>
      <w:r>
        <w:rPr>
          <w:rFonts w:hint="default" w:ascii="Times New Roman" w:hAnsi="Times New Roman" w:eastAsia="仿宋_GB2312" w:cs="Times New Roman"/>
          <w:b/>
          <w:bCs/>
          <w:color w:val="000000"/>
          <w:sz w:val="32"/>
          <w:szCs w:val="32"/>
          <w:lang w:val="en-US" w:eastAsia="zh-CN"/>
        </w:rPr>
        <w:t>应当</w:t>
      </w:r>
      <w:r>
        <w:rPr>
          <w:rFonts w:hint="default" w:ascii="Times New Roman" w:hAnsi="Times New Roman" w:eastAsia="仿宋_GB2312" w:cs="Times New Roman"/>
          <w:b/>
          <w:bCs/>
          <w:color w:val="000000"/>
          <w:sz w:val="32"/>
          <w:szCs w:val="32"/>
        </w:rPr>
        <w:t>通过在线监控、视频监控、无人机巡查等非现场检查方式，加强对老鹰水库饮用水水源保护范围内的联动执法。</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三十二</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成都市、资阳市以及水源所在地的县（市、区）人民政府应当建立老鹰水库饮用水水源保护网格化联动监督管理体系，明确责任人，制定监督管理措施。</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三十三</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成都市、资阳市人民政府以及水源所在地的县（市、区）人民政府生态环境主管部门和其他负有水源保护监督管理职责的部门可以聘任社会监督员，协助开展老鹰水库饮用水水源保护监督管理工作。</w:t>
      </w:r>
    </w:p>
    <w:p>
      <w:pPr>
        <w:keepNext w:val="0"/>
        <w:keepLines w:val="0"/>
        <w:pageBreakBefore w:val="0"/>
        <w:widowControl w:val="0"/>
        <w:kinsoku/>
        <w:wordWrap/>
        <w:overflowPunct w:val="0"/>
        <w:topLinePunct/>
        <w:autoSpaceDE/>
        <w:autoSpaceDN/>
        <w:bidi w:val="0"/>
        <w:adjustRightInd/>
        <w:snapToGrid/>
        <w:spacing w:line="600" w:lineRule="exact"/>
        <w:ind w:firstLine="64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三十四</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水源所在地的县（市、区）人民政府应当组织编制水源污染事故应急预案，建立预警联动体系，配备相应的应急救援物资。</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老鹰水库饮用水水源保护区、准保护区内的乡（镇）人民政府和企事业单位应当编制本单位水源污染事故应急</w:t>
      </w:r>
      <w:r>
        <w:rPr>
          <w:rFonts w:hint="eastAsia" w:ascii="Times New Roman" w:hAnsi="Times New Roman" w:eastAsia="仿宋_GB2312" w:cs="Times New Roman"/>
          <w:b/>
          <w:bCs/>
          <w:color w:val="000000"/>
          <w:sz w:val="32"/>
          <w:szCs w:val="32"/>
          <w:lang w:eastAsia="zh-CN"/>
        </w:rPr>
        <w:t>预</w:t>
      </w:r>
      <w:r>
        <w:rPr>
          <w:rFonts w:hint="default" w:ascii="Times New Roman" w:hAnsi="Times New Roman" w:eastAsia="仿宋_GB2312" w:cs="Times New Roman"/>
          <w:b/>
          <w:bCs/>
          <w:color w:val="000000"/>
          <w:sz w:val="32"/>
          <w:szCs w:val="32"/>
        </w:rPr>
        <w:t>案，报当地生态环境及相关主管部门备案，并做好应急物资储备，定期进行演练。</w:t>
      </w:r>
    </w:p>
    <w:p>
      <w:pPr>
        <w:keepNext w:val="0"/>
        <w:keepLines w:val="0"/>
        <w:pageBreakBefore w:val="0"/>
        <w:widowControl w:val="0"/>
        <w:kinsoku/>
        <w:wordWrap/>
        <w:overflowPunct w:val="0"/>
        <w:topLinePunct/>
        <w:autoSpaceDE/>
        <w:autoSpaceDN/>
        <w:bidi w:val="0"/>
        <w:adjustRightInd/>
        <w:snapToGrid/>
        <w:spacing w:line="600" w:lineRule="exact"/>
        <w:ind w:firstLine="64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老鹰水库饮用水水源水质受到或可能受到突发事件影响时，成都市、资阳市以及水源所在地的县（市、区）人民政府应当立即启动预警系统，发布预警公告，并视情况启动应急预案和通报受污染水体沿岸污染信息。</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 xml:space="preserve">第三十五条  </w:t>
      </w:r>
      <w:r>
        <w:rPr>
          <w:rFonts w:hint="default" w:ascii="Times New Roman" w:hAnsi="Times New Roman" w:eastAsia="仿宋_GB2312" w:cs="Times New Roman"/>
          <w:b/>
          <w:bCs/>
          <w:color w:val="000000"/>
          <w:sz w:val="32"/>
          <w:szCs w:val="32"/>
        </w:rPr>
        <w:t>发生或者可能发生水源污染事故时，有关企事业单位应当立即启动应急</w:t>
      </w:r>
      <w:r>
        <w:rPr>
          <w:rFonts w:hint="eastAsia" w:ascii="Times New Roman" w:hAnsi="Times New Roman" w:eastAsia="仿宋_GB2312" w:cs="Times New Roman"/>
          <w:b/>
          <w:bCs/>
          <w:color w:val="000000"/>
          <w:sz w:val="32"/>
          <w:szCs w:val="32"/>
          <w:lang w:eastAsia="zh-CN"/>
        </w:rPr>
        <w:t>预</w:t>
      </w:r>
      <w:r>
        <w:rPr>
          <w:rFonts w:hint="default" w:ascii="Times New Roman" w:hAnsi="Times New Roman" w:eastAsia="仿宋_GB2312" w:cs="Times New Roman"/>
          <w:b/>
          <w:bCs/>
          <w:color w:val="000000"/>
          <w:sz w:val="32"/>
          <w:szCs w:val="32"/>
        </w:rPr>
        <w:t>案，采取应急措施，同时向事故发生地的县级以上地方人民政府或者生态环境主管部门报告，不得迟报、谎报、瞒报、漏报。</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eastAsia="zh-CN"/>
        </w:rPr>
      </w:pPr>
      <w:r>
        <w:rPr>
          <w:rFonts w:hint="default" w:ascii="Times New Roman" w:hAnsi="Times New Roman" w:eastAsia="仿宋_GB2312" w:cs="Times New Roman"/>
          <w:b/>
          <w:bCs/>
          <w:color w:val="000000"/>
          <w:sz w:val="32"/>
          <w:szCs w:val="32"/>
        </w:rPr>
        <w:t>接到报告的县（市、区）人民政府或者生态环境主管部门应当及时启动应急预案，向可能受影响的水源所在地的县（市、区）人民政府通报污染信息，由有关县（市、区）人民政府共同组织采取应急监测、污染控制和应急处置措施，并组织有关单位做好应急供水准备，保障供水安全。</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三十六</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省人民政府</w:t>
      </w:r>
      <w:r>
        <w:rPr>
          <w:rFonts w:hint="default" w:ascii="Times New Roman" w:hAnsi="Times New Roman" w:eastAsia="仿宋_GB2312" w:cs="Times New Roman"/>
          <w:b/>
          <w:bCs/>
          <w:color w:val="000000"/>
          <w:sz w:val="32"/>
          <w:szCs w:val="32"/>
          <w:lang w:eastAsia="zh-CN"/>
        </w:rPr>
        <w:t>应当按照国家和省有关规定，对成都市、</w:t>
      </w:r>
      <w:r>
        <w:rPr>
          <w:rFonts w:hint="default" w:ascii="Times New Roman" w:hAnsi="Times New Roman" w:eastAsia="仿宋_GB2312" w:cs="Times New Roman"/>
          <w:b/>
          <w:bCs/>
          <w:color w:val="000000"/>
          <w:sz w:val="32"/>
          <w:szCs w:val="32"/>
        </w:rPr>
        <w:t>资阳市人民政府老鹰水库饮用水水源保护工作目标完成情况</w:t>
      </w:r>
      <w:r>
        <w:rPr>
          <w:rFonts w:hint="default" w:ascii="Times New Roman" w:hAnsi="Times New Roman" w:eastAsia="仿宋_GB2312" w:cs="Times New Roman"/>
          <w:b/>
          <w:bCs/>
          <w:color w:val="000000"/>
          <w:sz w:val="32"/>
          <w:szCs w:val="32"/>
          <w:lang w:eastAsia="zh-CN"/>
        </w:rPr>
        <w:t>进行考核</w:t>
      </w:r>
      <w:r>
        <w:rPr>
          <w:rFonts w:hint="default" w:ascii="Times New Roman" w:hAnsi="Times New Roman" w:eastAsia="仿宋_GB2312" w:cs="Times New Roman"/>
          <w:b/>
          <w:bCs/>
          <w:color w:val="000000"/>
          <w:sz w:val="32"/>
          <w:szCs w:val="32"/>
        </w:rPr>
        <w:t>。</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成都市、资阳市人民政府应当</w:t>
      </w:r>
      <w:r>
        <w:rPr>
          <w:rFonts w:hint="default" w:ascii="Times New Roman" w:hAnsi="Times New Roman" w:eastAsia="仿宋_GB2312" w:cs="Times New Roman"/>
          <w:b/>
          <w:bCs/>
          <w:color w:val="000000"/>
          <w:sz w:val="32"/>
          <w:szCs w:val="32"/>
          <w:lang w:eastAsia="zh-CN"/>
        </w:rPr>
        <w:t>按照国家和省有关规定，</w:t>
      </w:r>
      <w:r>
        <w:rPr>
          <w:rFonts w:hint="default" w:ascii="Times New Roman" w:hAnsi="Times New Roman" w:eastAsia="仿宋_GB2312" w:cs="Times New Roman"/>
          <w:b/>
          <w:bCs/>
          <w:color w:val="000000"/>
          <w:sz w:val="32"/>
          <w:szCs w:val="32"/>
        </w:rPr>
        <w:t>对</w:t>
      </w:r>
      <w:r>
        <w:rPr>
          <w:rFonts w:hint="default" w:ascii="Times New Roman" w:hAnsi="Times New Roman" w:eastAsia="仿宋_GB2312" w:cs="Times New Roman"/>
          <w:b/>
          <w:bCs/>
          <w:color w:val="000000"/>
          <w:sz w:val="32"/>
          <w:szCs w:val="32"/>
          <w:lang w:eastAsia="zh-CN"/>
        </w:rPr>
        <w:t>老鹰水库饮用水</w:t>
      </w:r>
      <w:r>
        <w:rPr>
          <w:rFonts w:hint="default" w:ascii="Times New Roman" w:hAnsi="Times New Roman" w:eastAsia="仿宋_GB2312" w:cs="Times New Roman"/>
          <w:b/>
          <w:bCs/>
          <w:color w:val="000000"/>
          <w:sz w:val="32"/>
          <w:szCs w:val="32"/>
        </w:rPr>
        <w:t>水源所在地的县（市、区）人民政府及其有关部门</w:t>
      </w:r>
      <w:r>
        <w:rPr>
          <w:rFonts w:hint="default" w:ascii="Times New Roman" w:hAnsi="Times New Roman" w:eastAsia="仿宋_GB2312" w:cs="Times New Roman"/>
          <w:b/>
          <w:bCs/>
          <w:color w:val="000000"/>
          <w:sz w:val="32"/>
          <w:szCs w:val="32"/>
          <w:lang w:val="en-US" w:eastAsia="zh-CN"/>
        </w:rPr>
        <w:t>进行</w:t>
      </w:r>
      <w:r>
        <w:rPr>
          <w:rFonts w:hint="default" w:ascii="Times New Roman" w:hAnsi="Times New Roman" w:eastAsia="仿宋_GB2312" w:cs="Times New Roman"/>
          <w:b/>
          <w:bCs/>
          <w:color w:val="000000"/>
          <w:sz w:val="32"/>
          <w:szCs w:val="32"/>
        </w:rPr>
        <w:t>考核。</w:t>
      </w:r>
    </w:p>
    <w:p>
      <w:pPr>
        <w:keepNext w:val="0"/>
        <w:keepLines w:val="0"/>
        <w:pageBreakBefore w:val="0"/>
        <w:widowControl w:val="0"/>
        <w:kinsoku/>
        <w:wordWrap/>
        <w:overflowPunct w:val="0"/>
        <w:topLinePunct/>
        <w:autoSpaceDE/>
        <w:autoSpaceDN/>
        <w:bidi w:val="0"/>
        <w:adjustRightInd/>
        <w:snapToGrid/>
        <w:spacing w:line="600" w:lineRule="exact"/>
        <w:ind w:firstLine="2570" w:firstLineChars="8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 xml:space="preserve"> </w:t>
      </w: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default" w:ascii="方正黑体简体" w:hAnsi="方正黑体简体" w:eastAsia="方正黑体简体" w:cs="方正黑体简体"/>
          <w:b w:val="0"/>
          <w:bCs w:val="0"/>
          <w:color w:val="000000"/>
          <w:sz w:val="32"/>
          <w:szCs w:val="32"/>
          <w:lang w:eastAsia="zh-CN"/>
        </w:rPr>
      </w:pPr>
      <w:r>
        <w:rPr>
          <w:rFonts w:hint="default" w:ascii="方正黑体简体" w:hAnsi="方正黑体简体" w:eastAsia="方正黑体简体" w:cs="方正黑体简体"/>
          <w:b w:val="0"/>
          <w:bCs w:val="0"/>
          <w:color w:val="000000"/>
          <w:sz w:val="32"/>
          <w:szCs w:val="32"/>
          <w:lang w:eastAsia="zh-CN"/>
        </w:rPr>
        <w:t>第五章  法律责任</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第三十</w:t>
      </w:r>
      <w:r>
        <w:rPr>
          <w:rFonts w:hint="default" w:ascii="Times New Roman" w:hAnsi="Times New Roman" w:eastAsia="仿宋_GB2312" w:cs="Times New Roman"/>
          <w:b/>
          <w:bCs/>
          <w:color w:val="000000"/>
          <w:sz w:val="32"/>
          <w:szCs w:val="32"/>
          <w:lang w:val="en-US" w:eastAsia="zh-CN"/>
        </w:rPr>
        <w:t>七</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违反本条例规定</w:t>
      </w:r>
      <w:r>
        <w:rPr>
          <w:rFonts w:hint="default" w:ascii="Times New Roman" w:hAnsi="Times New Roman" w:eastAsia="仿宋_GB2312" w:cs="Times New Roman"/>
          <w:b/>
          <w:bCs/>
          <w:color w:val="000000"/>
          <w:sz w:val="32"/>
          <w:szCs w:val="32"/>
          <w:lang w:val="en-US" w:eastAsia="zh-CN"/>
        </w:rPr>
        <w:t>的行为</w:t>
      </w:r>
      <w:r>
        <w:rPr>
          <w:rFonts w:hint="default" w:ascii="Times New Roman" w:hAnsi="Times New Roman" w:eastAsia="仿宋_GB2312" w:cs="Times New Roman"/>
          <w:b/>
          <w:bCs/>
          <w:color w:val="000000"/>
          <w:sz w:val="32"/>
          <w:szCs w:val="32"/>
        </w:rPr>
        <w:t>，法律、法规已有</w:t>
      </w:r>
      <w:r>
        <w:rPr>
          <w:rFonts w:hint="default" w:ascii="Times New Roman" w:hAnsi="Times New Roman" w:eastAsia="仿宋_GB2312" w:cs="Times New Roman"/>
          <w:b/>
          <w:bCs/>
          <w:color w:val="000000"/>
          <w:sz w:val="32"/>
          <w:szCs w:val="32"/>
          <w:lang w:val="en-US" w:eastAsia="zh-CN"/>
        </w:rPr>
        <w:t>法律责任</w:t>
      </w:r>
      <w:r>
        <w:rPr>
          <w:rFonts w:hint="default" w:ascii="Times New Roman" w:hAnsi="Times New Roman" w:eastAsia="仿宋_GB2312" w:cs="Times New Roman"/>
          <w:b/>
          <w:bCs/>
          <w:color w:val="000000"/>
          <w:sz w:val="32"/>
          <w:szCs w:val="32"/>
        </w:rPr>
        <w:t>规定的，从其规定。</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第三十</w:t>
      </w:r>
      <w:r>
        <w:rPr>
          <w:rFonts w:hint="default" w:ascii="Times New Roman" w:hAnsi="Times New Roman" w:eastAsia="仿宋_GB2312" w:cs="Times New Roman"/>
          <w:b/>
          <w:bCs/>
          <w:color w:val="000000"/>
          <w:sz w:val="32"/>
          <w:szCs w:val="32"/>
          <w:lang w:val="en-US" w:eastAsia="zh-CN"/>
        </w:rPr>
        <w:t>八</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违反本条例第十</w:t>
      </w:r>
      <w:r>
        <w:rPr>
          <w:rFonts w:hint="default" w:ascii="Times New Roman" w:hAnsi="Times New Roman" w:eastAsia="仿宋_GB2312"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rPr>
        <w:t>条第三款规定的，由县级以上地方人民政府生态环境主管部门责令停止违法行为，恢复原状；情节严重的，处以五千元以上二万元以下的罚款。</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第三十</w:t>
      </w:r>
      <w:r>
        <w:rPr>
          <w:rFonts w:hint="default" w:ascii="Times New Roman" w:hAnsi="Times New Roman" w:eastAsia="仿宋_GB2312" w:cs="Times New Roman"/>
          <w:b/>
          <w:bCs/>
          <w:color w:val="000000"/>
          <w:sz w:val="32"/>
          <w:szCs w:val="32"/>
          <w:lang w:val="en-US" w:eastAsia="zh-CN"/>
        </w:rPr>
        <w:t>九</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违反本条例第十</w:t>
      </w:r>
      <w:r>
        <w:rPr>
          <w:rFonts w:hint="default" w:ascii="Times New Roman" w:hAnsi="Times New Roman" w:eastAsia="仿宋_GB2312" w:cs="Times New Roman"/>
          <w:b/>
          <w:bCs/>
          <w:color w:val="000000"/>
          <w:sz w:val="32"/>
          <w:szCs w:val="32"/>
          <w:lang w:val="en-US" w:eastAsia="zh-CN"/>
        </w:rPr>
        <w:t>三</w:t>
      </w:r>
      <w:r>
        <w:rPr>
          <w:rFonts w:hint="default" w:ascii="Times New Roman" w:hAnsi="Times New Roman" w:eastAsia="仿宋_GB2312" w:cs="Times New Roman"/>
          <w:b/>
          <w:bCs/>
          <w:color w:val="000000"/>
          <w:sz w:val="32"/>
          <w:szCs w:val="32"/>
        </w:rPr>
        <w:t>条第</w:t>
      </w:r>
      <w:r>
        <w:rPr>
          <w:rFonts w:hint="default" w:ascii="Times New Roman" w:hAnsi="Times New Roman" w:eastAsia="仿宋_GB2312"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rPr>
        <w:t>款</w:t>
      </w:r>
      <w:r>
        <w:rPr>
          <w:rFonts w:hint="default" w:ascii="Times New Roman" w:hAnsi="Times New Roman" w:eastAsia="仿宋_GB2312" w:cs="Times New Roman"/>
          <w:b/>
          <w:bCs/>
          <w:color w:val="000000"/>
          <w:sz w:val="32"/>
          <w:szCs w:val="32"/>
          <w:lang w:val="en-US" w:eastAsia="zh-CN"/>
        </w:rPr>
        <w:t>第一项</w:t>
      </w:r>
      <w:r>
        <w:rPr>
          <w:rFonts w:hint="default" w:ascii="Times New Roman" w:hAnsi="Times New Roman" w:eastAsia="仿宋_GB2312" w:cs="Times New Roman"/>
          <w:b/>
          <w:bCs/>
          <w:color w:val="000000"/>
          <w:sz w:val="32"/>
          <w:szCs w:val="32"/>
        </w:rPr>
        <w:t>规定，</w:t>
      </w:r>
      <w:r>
        <w:rPr>
          <w:rFonts w:hint="default" w:ascii="Times New Roman" w:hAnsi="Times New Roman" w:eastAsia="仿宋_GB2312" w:cs="Times New Roman"/>
          <w:b/>
          <w:bCs/>
          <w:color w:val="000000"/>
          <w:sz w:val="32"/>
          <w:szCs w:val="32"/>
          <w:lang w:eastAsia="zh-CN"/>
        </w:rPr>
        <w:t>单位</w:t>
      </w:r>
      <w:r>
        <w:rPr>
          <w:rFonts w:hint="default" w:ascii="Times New Roman" w:hAnsi="Times New Roman" w:eastAsia="仿宋_GB2312" w:cs="Times New Roman"/>
          <w:b/>
          <w:bCs/>
          <w:color w:val="000000"/>
          <w:sz w:val="32"/>
          <w:szCs w:val="32"/>
        </w:rPr>
        <w:t>在老鹰水库饮用水水源二级保护区库区水域范围内</w:t>
      </w:r>
      <w:r>
        <w:rPr>
          <w:rFonts w:hint="default" w:ascii="Times New Roman" w:hAnsi="Times New Roman" w:eastAsia="仿宋_GB2312" w:cs="Times New Roman"/>
          <w:b/>
          <w:bCs/>
          <w:color w:val="000000"/>
          <w:sz w:val="32"/>
          <w:szCs w:val="32"/>
          <w:lang w:eastAsia="zh-CN"/>
        </w:rPr>
        <w:t>组织</w:t>
      </w:r>
      <w:r>
        <w:rPr>
          <w:rFonts w:hint="default" w:ascii="Times New Roman" w:hAnsi="Times New Roman" w:eastAsia="仿宋_GB2312" w:cs="Times New Roman"/>
          <w:b/>
          <w:bCs/>
          <w:color w:val="000000"/>
          <w:sz w:val="32"/>
          <w:szCs w:val="32"/>
        </w:rPr>
        <w:t>进行</w:t>
      </w:r>
      <w:r>
        <w:rPr>
          <w:rFonts w:hint="default" w:ascii="Times New Roman" w:hAnsi="Times New Roman" w:eastAsia="仿宋_GB2312" w:cs="Times New Roman"/>
          <w:b/>
          <w:bCs/>
          <w:color w:val="000000"/>
          <w:sz w:val="32"/>
          <w:szCs w:val="32"/>
          <w:lang w:eastAsia="zh-CN"/>
        </w:rPr>
        <w:t>游泳</w:t>
      </w:r>
      <w:r>
        <w:rPr>
          <w:rFonts w:hint="default" w:ascii="Times New Roman" w:hAnsi="Times New Roman" w:eastAsia="仿宋_GB2312" w:cs="Times New Roman"/>
          <w:b/>
          <w:bCs/>
          <w:color w:val="000000"/>
          <w:sz w:val="32"/>
          <w:szCs w:val="32"/>
        </w:rPr>
        <w:t>、垂钓等污染饮用水水源的活动的，由县级以上地方人民政府生态环境主管部门责令停止违法行为，处以二万元以上十万元以下的罚款。个人在老鹰水库饮用水水源二级保护区库区水域范围进行游泳、垂钓等污染饮用水水源的活动的，由县级以上地方人民政府生态环境主管部门责令停止违法行为，可处</w:t>
      </w:r>
      <w:r>
        <w:rPr>
          <w:rFonts w:hint="default" w:ascii="Times New Roman" w:hAnsi="Times New Roman" w:eastAsia="仿宋_GB2312" w:cs="Times New Roman"/>
          <w:b/>
          <w:bCs/>
          <w:color w:val="000000"/>
          <w:sz w:val="32"/>
          <w:szCs w:val="32"/>
          <w:lang w:val="en-US" w:eastAsia="zh-CN"/>
        </w:rPr>
        <w:t>二百元以上</w:t>
      </w:r>
      <w:r>
        <w:rPr>
          <w:rFonts w:hint="default" w:ascii="Times New Roman" w:hAnsi="Times New Roman" w:eastAsia="仿宋_GB2312" w:cs="Times New Roman"/>
          <w:b/>
          <w:bCs/>
          <w:color w:val="000000"/>
          <w:sz w:val="32"/>
          <w:szCs w:val="32"/>
        </w:rPr>
        <w:t>五百元以下的罚款。</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违反本条例第十</w:t>
      </w:r>
      <w:r>
        <w:rPr>
          <w:rFonts w:hint="default" w:ascii="Times New Roman" w:hAnsi="Times New Roman" w:eastAsia="仿宋_GB2312" w:cs="Times New Roman"/>
          <w:b/>
          <w:bCs/>
          <w:color w:val="000000"/>
          <w:sz w:val="32"/>
          <w:szCs w:val="32"/>
          <w:lang w:val="en-US" w:eastAsia="zh-CN"/>
        </w:rPr>
        <w:t>三</w:t>
      </w:r>
      <w:r>
        <w:rPr>
          <w:rFonts w:hint="default" w:ascii="Times New Roman" w:hAnsi="Times New Roman" w:eastAsia="仿宋_GB2312" w:cs="Times New Roman"/>
          <w:b/>
          <w:bCs/>
          <w:color w:val="000000"/>
          <w:sz w:val="32"/>
          <w:szCs w:val="32"/>
        </w:rPr>
        <w:t>条第</w:t>
      </w:r>
      <w:r>
        <w:rPr>
          <w:rFonts w:hint="default" w:ascii="Times New Roman" w:hAnsi="Times New Roman" w:eastAsia="仿宋_GB2312"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rPr>
        <w:t>款</w:t>
      </w:r>
      <w:r>
        <w:rPr>
          <w:rFonts w:hint="default" w:ascii="Times New Roman" w:hAnsi="Times New Roman" w:eastAsia="仿宋_GB2312" w:cs="Times New Roman"/>
          <w:b/>
          <w:bCs/>
          <w:color w:val="000000"/>
          <w:sz w:val="32"/>
          <w:szCs w:val="32"/>
          <w:lang w:val="en-US" w:eastAsia="zh-CN"/>
        </w:rPr>
        <w:t>第二项</w:t>
      </w:r>
      <w:r>
        <w:rPr>
          <w:rFonts w:hint="default" w:ascii="Times New Roman" w:hAnsi="Times New Roman" w:eastAsia="仿宋_GB2312" w:cs="Times New Roman"/>
          <w:b/>
          <w:bCs/>
          <w:color w:val="000000"/>
          <w:sz w:val="32"/>
          <w:szCs w:val="32"/>
        </w:rPr>
        <w:t>规定，在老鹰水库饮用水水源二级保护区的消落区内从事农作物种植</w:t>
      </w:r>
      <w:r>
        <w:rPr>
          <w:rFonts w:hint="default" w:ascii="Times New Roman" w:hAnsi="Times New Roman" w:eastAsia="仿宋_GB2312" w:cs="Times New Roman"/>
          <w:b/>
          <w:bCs/>
          <w:color w:val="000000"/>
          <w:sz w:val="32"/>
          <w:szCs w:val="32"/>
          <w:lang w:eastAsia="zh-CN"/>
        </w:rPr>
        <w:t>或者</w:t>
      </w:r>
      <w:r>
        <w:rPr>
          <w:rFonts w:hint="default" w:ascii="Times New Roman" w:hAnsi="Times New Roman" w:eastAsia="仿宋_GB2312" w:cs="Times New Roman"/>
          <w:b/>
          <w:bCs/>
          <w:color w:val="000000"/>
          <w:sz w:val="32"/>
          <w:szCs w:val="32"/>
        </w:rPr>
        <w:t>畜禽、水产养殖活动的，由县级以上地方人民政府生态环境主管部门</w:t>
      </w:r>
      <w:r>
        <w:rPr>
          <w:rFonts w:hint="default" w:ascii="Times New Roman" w:hAnsi="Times New Roman" w:eastAsia="仿宋_GB2312" w:cs="Times New Roman"/>
          <w:b/>
          <w:bCs/>
          <w:color w:val="000000"/>
          <w:sz w:val="32"/>
          <w:szCs w:val="32"/>
          <w:lang w:val="en-US" w:eastAsia="zh-CN"/>
        </w:rPr>
        <w:t>责令停止违法行为，</w:t>
      </w:r>
      <w:r>
        <w:rPr>
          <w:rFonts w:hint="default" w:ascii="Times New Roman" w:hAnsi="Times New Roman" w:eastAsia="仿宋_GB2312" w:cs="Times New Roman"/>
          <w:b/>
          <w:bCs/>
          <w:color w:val="000000"/>
          <w:sz w:val="32"/>
          <w:szCs w:val="32"/>
        </w:rPr>
        <w:t>处以二百元以上五百元以下的罚款。</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四十</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违反本条例规定有下列行为之一的，由有权机关对负有责任的主管人员和直接责任人依法给予行政处理：</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未依法划定或者调整饮用水水源保护区、准保护区的；</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rPr>
        <w:t>未依法</w:t>
      </w:r>
      <w:r>
        <w:rPr>
          <w:rFonts w:hint="default" w:ascii="Times New Roman" w:hAnsi="Times New Roman" w:eastAsia="仿宋_GB2312" w:cs="Times New Roman"/>
          <w:b/>
          <w:bCs/>
          <w:color w:val="000000"/>
          <w:sz w:val="32"/>
          <w:szCs w:val="32"/>
          <w:lang w:eastAsia="zh-CN"/>
        </w:rPr>
        <w:t>制定</w:t>
      </w:r>
      <w:r>
        <w:rPr>
          <w:rFonts w:hint="default" w:ascii="Times New Roman" w:hAnsi="Times New Roman" w:eastAsia="仿宋_GB2312" w:cs="Times New Roman"/>
          <w:b/>
          <w:bCs/>
          <w:color w:val="000000"/>
          <w:sz w:val="32"/>
          <w:szCs w:val="32"/>
        </w:rPr>
        <w:t>老鹰水库饮用水水源保护具体实施方案的；</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违反老鹰水库饮用水水源保护要求</w:t>
      </w:r>
      <w:r>
        <w:rPr>
          <w:rFonts w:hint="eastAsia" w:ascii="Times New Roman" w:hAnsi="Times New Roman" w:eastAsia="仿宋_GB2312" w:cs="Times New Roman"/>
          <w:b/>
          <w:bCs/>
          <w:color w:val="000000"/>
          <w:sz w:val="32"/>
          <w:szCs w:val="32"/>
          <w:lang w:eastAsia="zh-CN"/>
        </w:rPr>
        <w:t>编制用地</w:t>
      </w:r>
      <w:r>
        <w:rPr>
          <w:rFonts w:hint="default" w:ascii="Times New Roman" w:hAnsi="Times New Roman" w:eastAsia="仿宋_GB2312" w:cs="Times New Roman"/>
          <w:b/>
          <w:bCs/>
          <w:color w:val="000000"/>
          <w:sz w:val="32"/>
          <w:szCs w:val="32"/>
        </w:rPr>
        <w:t>规划和</w:t>
      </w:r>
      <w:r>
        <w:rPr>
          <w:rFonts w:hint="eastAsia" w:ascii="Times New Roman" w:hAnsi="Times New Roman" w:eastAsia="仿宋_GB2312" w:cs="Times New Roman"/>
          <w:b/>
          <w:bCs/>
          <w:color w:val="000000"/>
          <w:sz w:val="32"/>
          <w:szCs w:val="32"/>
          <w:lang w:eastAsia="zh-CN"/>
        </w:rPr>
        <w:t>开展</w:t>
      </w:r>
      <w:r>
        <w:rPr>
          <w:rFonts w:hint="default" w:ascii="Times New Roman" w:hAnsi="Times New Roman" w:eastAsia="仿宋_GB2312" w:cs="Times New Roman"/>
          <w:b/>
          <w:bCs/>
          <w:color w:val="000000"/>
          <w:sz w:val="32"/>
          <w:szCs w:val="32"/>
        </w:rPr>
        <w:t>项目建设的；</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rPr>
        <w:t>对老鹰水库饮用水水源保护区、准保护区</w:t>
      </w:r>
      <w:r>
        <w:rPr>
          <w:rFonts w:hint="default" w:ascii="Times New Roman" w:hAnsi="Times New Roman" w:eastAsia="仿宋_GB2312" w:cs="Times New Roman"/>
          <w:b/>
          <w:bCs/>
          <w:color w:val="000000"/>
          <w:sz w:val="32"/>
          <w:szCs w:val="32"/>
          <w:lang w:val="en-US" w:eastAsia="zh-CN"/>
        </w:rPr>
        <w:t>内以及保护区</w:t>
      </w:r>
      <w:r>
        <w:rPr>
          <w:rFonts w:hint="default" w:ascii="Times New Roman" w:hAnsi="Times New Roman" w:eastAsia="仿宋_GB2312" w:cs="Times New Roman"/>
          <w:b/>
          <w:bCs/>
          <w:color w:val="000000"/>
          <w:sz w:val="32"/>
          <w:szCs w:val="32"/>
        </w:rPr>
        <w:t>和准保护区外调水设施沿线难以确定责任人的污染源，不采取有效措施及时处理的；</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不执行库区水资源调度方案的；</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对饮用水水源受到严重污染、供水安全受到威胁等紧急情况，未立即启动应急预案，造成供水短缺的；</w:t>
      </w:r>
    </w:p>
    <w:p>
      <w:pPr>
        <w:keepNext w:val="0"/>
        <w:keepLines w:val="0"/>
        <w:pageBreakBefore w:val="0"/>
        <w:widowControl w:val="0"/>
        <w:numPr>
          <w:ilvl w:val="0"/>
          <w:numId w:val="1"/>
        </w:numPr>
        <w:kinsoku/>
        <w:wordWrap/>
        <w:overflowPunct w:val="0"/>
        <w:topLinePunct/>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对发生事故或者突发事件造成或者可能造成饮用水水源水质污染，未及时按照国家和省有关规定采取应急措施的。</w:t>
      </w:r>
    </w:p>
    <w:p>
      <w:pPr>
        <w:keepNext w:val="0"/>
        <w:keepLines w:val="0"/>
        <w:pageBreakBefore w:val="0"/>
        <w:widowControl w:val="0"/>
        <w:kinsoku/>
        <w:wordWrap/>
        <w:overflowPunct w:val="0"/>
        <w:topLinePunct/>
        <w:autoSpaceDE/>
        <w:autoSpaceDN/>
        <w:bidi w:val="0"/>
        <w:adjustRightInd/>
        <w:snapToGrid/>
        <w:spacing w:line="600" w:lineRule="exact"/>
        <w:ind w:firstLine="0" w:firstLineChars="0"/>
        <w:textAlignment w:val="auto"/>
        <w:rPr>
          <w:rFonts w:hint="default" w:ascii="Times New Roman" w:hAnsi="Times New Roman" w:eastAsia="仿宋_GB2312" w:cs="Times New Roman"/>
          <w:b/>
          <w:bCs/>
          <w:color w:val="000000"/>
          <w:sz w:val="32"/>
          <w:szCs w:val="32"/>
        </w:rPr>
      </w:pPr>
    </w:p>
    <w:p>
      <w:pPr>
        <w:keepNext w:val="0"/>
        <w:keepLines w:val="0"/>
        <w:pageBreakBefore w:val="0"/>
        <w:widowControl w:val="0"/>
        <w:kinsoku/>
        <w:wordWrap/>
        <w:overflowPunct w:val="0"/>
        <w:topLinePunct/>
        <w:autoSpaceDE/>
        <w:autoSpaceDN/>
        <w:bidi w:val="0"/>
        <w:adjustRightInd/>
        <w:snapToGrid/>
        <w:spacing w:line="600" w:lineRule="exact"/>
        <w:jc w:val="center"/>
        <w:textAlignment w:val="auto"/>
        <w:rPr>
          <w:rFonts w:hint="eastAsia" w:ascii="方正黑体简体" w:hAnsi="方正黑体简体" w:eastAsia="方正黑体简体" w:cs="方正黑体简体"/>
          <w:b w:val="0"/>
          <w:bCs w:val="0"/>
          <w:color w:val="000000"/>
          <w:sz w:val="32"/>
          <w:szCs w:val="32"/>
        </w:rPr>
      </w:pPr>
      <w:r>
        <w:rPr>
          <w:rFonts w:hint="eastAsia" w:ascii="方正黑体简体" w:hAnsi="方正黑体简体" w:eastAsia="方正黑体简体" w:cs="方正黑体简体"/>
          <w:b w:val="0"/>
          <w:bCs w:val="0"/>
          <w:color w:val="000000"/>
          <w:sz w:val="32"/>
          <w:szCs w:val="32"/>
          <w:lang w:eastAsia="zh-CN"/>
        </w:rPr>
        <w:t>第六章</w:t>
      </w:r>
      <w:r>
        <w:rPr>
          <w:rFonts w:hint="eastAsia" w:ascii="方正黑体简体" w:hAnsi="方正黑体简体" w:eastAsia="方正黑体简体" w:cs="方正黑体简体"/>
          <w:b w:val="0"/>
          <w:bCs w:val="0"/>
          <w:color w:val="000000"/>
          <w:sz w:val="32"/>
          <w:szCs w:val="32"/>
          <w:lang w:val="en-US" w:eastAsia="zh-CN"/>
        </w:rPr>
        <w:t xml:space="preserve">  </w:t>
      </w:r>
      <w:r>
        <w:rPr>
          <w:rFonts w:hint="eastAsia" w:ascii="方正黑体简体" w:hAnsi="方正黑体简体" w:eastAsia="方正黑体简体" w:cs="方正黑体简体"/>
          <w:b w:val="0"/>
          <w:bCs w:val="0"/>
          <w:color w:val="000000"/>
          <w:sz w:val="32"/>
          <w:szCs w:val="32"/>
        </w:rPr>
        <w:t>附  则</w:t>
      </w:r>
    </w:p>
    <w:p>
      <w:pPr>
        <w:keepNext w:val="0"/>
        <w:keepLines w:val="0"/>
        <w:pageBreakBefore w:val="0"/>
        <w:widowControl w:val="0"/>
        <w:kinsoku/>
        <w:wordWrap/>
        <w:overflowPunct w:val="0"/>
        <w:topLinePunct/>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color w:val="000000"/>
          <w:sz w:val="32"/>
          <w:szCs w:val="32"/>
        </w:rPr>
        <w:t>第</w:t>
      </w:r>
      <w:r>
        <w:rPr>
          <w:rFonts w:hint="default" w:ascii="Times New Roman" w:hAnsi="Times New Roman" w:eastAsia="仿宋_GB2312" w:cs="Times New Roman"/>
          <w:b/>
          <w:bCs/>
          <w:color w:val="000000"/>
          <w:sz w:val="32"/>
          <w:szCs w:val="32"/>
          <w:lang w:val="en-US" w:eastAsia="zh-CN"/>
        </w:rPr>
        <w:t>四十一</w:t>
      </w:r>
      <w:r>
        <w:rPr>
          <w:rFonts w:hint="default" w:ascii="Times New Roman" w:hAnsi="Times New Roman" w:eastAsia="仿宋_GB2312" w:cs="Times New Roman"/>
          <w:b/>
          <w:bCs/>
          <w:color w:val="000000"/>
          <w:sz w:val="32"/>
          <w:szCs w:val="32"/>
        </w:rPr>
        <w:t>条</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本条例自  年  月  日起施行。</w:t>
      </w:r>
    </w:p>
    <w:p>
      <w:pPr>
        <w:keepNext w:val="0"/>
        <w:keepLines w:val="0"/>
        <w:pageBreakBefore w:val="0"/>
        <w:kinsoku/>
        <w:bidi w:val="0"/>
        <w:snapToGrid/>
        <w:spacing w:line="640" w:lineRule="exact"/>
        <w:ind w:firstLine="640" w:firstLineChars="200"/>
        <w:textAlignment w:val="auto"/>
        <w:rPr>
          <w:rFonts w:hint="default" w:ascii="Times New Roman" w:hAnsi="Times New Roman" w:eastAsia="仿宋_GB2312" w:cs="Times New Roman"/>
          <w:sz w:val="32"/>
          <w:szCs w:val="32"/>
        </w:rPr>
      </w:pPr>
    </w:p>
    <w:p>
      <w:pPr>
        <w:rPr>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E8A08D"/>
    <w:multiLevelType w:val="singleLevel"/>
    <w:tmpl w:val="A1E8A0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45A6D"/>
    <w:rsid w:val="3624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_Style 2"/>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2020-11-23T08:31:00Z</dcterms:created>
  <dc:creator>川流不息</dc:creator>
  <cp:lastModifiedBy>川流不息</cp:lastModifiedBy>
  <dcterms:modified xsi:type="dcterms:W3CDTF">2020-11-23T08:37:18Z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