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9E" w:rsidRDefault="00921E9E">
      <w:pPr>
        <w:spacing w:line="600" w:lineRule="exact"/>
        <w:jc w:val="center"/>
        <w:outlineLvl w:val="0"/>
        <w:rPr>
          <w:rFonts w:ascii="方正小标宋简体" w:eastAsia="方正小标宋简体" w:hAnsi="宋体"/>
          <w:color w:val="000000"/>
          <w:sz w:val="72"/>
          <w:szCs w:val="72"/>
        </w:rPr>
      </w:pPr>
      <w:bookmarkStart w:id="0" w:name="_Toc15306267"/>
    </w:p>
    <w:p w:rsidR="00921E9E" w:rsidRDefault="00921E9E">
      <w:pPr>
        <w:spacing w:line="600" w:lineRule="exact"/>
        <w:jc w:val="center"/>
        <w:outlineLvl w:val="0"/>
        <w:rPr>
          <w:rFonts w:ascii="方正小标宋简体" w:eastAsia="方正小标宋简体" w:hAnsi="宋体"/>
          <w:color w:val="000000"/>
          <w:sz w:val="72"/>
          <w:szCs w:val="72"/>
        </w:rPr>
      </w:pPr>
    </w:p>
    <w:p w:rsidR="00921E9E" w:rsidRDefault="00921E9E">
      <w:pPr>
        <w:spacing w:line="600" w:lineRule="exact"/>
        <w:jc w:val="center"/>
        <w:outlineLvl w:val="0"/>
        <w:rPr>
          <w:rFonts w:ascii="方正小标宋简体" w:eastAsia="方正小标宋简体" w:hAnsi="宋体"/>
          <w:color w:val="000000"/>
          <w:sz w:val="72"/>
          <w:szCs w:val="72"/>
        </w:rPr>
      </w:pPr>
    </w:p>
    <w:p w:rsidR="00921E9E" w:rsidRDefault="00921E9E">
      <w:pPr>
        <w:spacing w:line="600" w:lineRule="exact"/>
        <w:jc w:val="center"/>
        <w:outlineLvl w:val="0"/>
        <w:rPr>
          <w:rFonts w:ascii="方正小标宋简体" w:eastAsia="方正小标宋简体" w:hAnsi="宋体"/>
          <w:color w:val="000000"/>
          <w:sz w:val="72"/>
          <w:szCs w:val="72"/>
        </w:rPr>
      </w:pPr>
    </w:p>
    <w:p w:rsidR="00921E9E" w:rsidRDefault="00B941C6">
      <w:pPr>
        <w:adjustRightInd w:val="0"/>
        <w:snapToGrid w:val="0"/>
        <w:spacing w:line="360" w:lineRule="auto"/>
        <w:jc w:val="center"/>
        <w:outlineLvl w:val="0"/>
        <w:rPr>
          <w:rFonts w:ascii="方正小标宋简体" w:eastAsia="方正小标宋简体" w:hAnsi="宋体"/>
          <w:color w:val="000000"/>
          <w:sz w:val="52"/>
          <w:szCs w:val="52"/>
        </w:rPr>
      </w:pPr>
      <w:bookmarkStart w:id="1" w:name="_Toc15396597"/>
      <w:bookmarkStart w:id="2" w:name="_Toc15377193"/>
      <w:bookmarkStart w:id="3" w:name="_Toc15396475"/>
      <w:bookmarkStart w:id="4" w:name="_Toc15377425"/>
      <w:bookmarkStart w:id="5" w:name="_Toc15378441"/>
      <w:r>
        <w:rPr>
          <w:rFonts w:ascii="方正小标宋简体" w:eastAsia="方正小标宋简体" w:hAnsi="宋体"/>
          <w:color w:val="000000"/>
          <w:sz w:val="52"/>
          <w:szCs w:val="52"/>
        </w:rPr>
        <w:t>201</w:t>
      </w:r>
      <w:r>
        <w:rPr>
          <w:rFonts w:ascii="方正小标宋简体" w:eastAsia="方正小标宋简体" w:hAnsi="宋体" w:hint="eastAsia"/>
          <w:color w:val="000000"/>
          <w:sz w:val="52"/>
          <w:szCs w:val="52"/>
        </w:rPr>
        <w:t>8年度</w:t>
      </w:r>
      <w:bookmarkStart w:id="6" w:name="_Toc15377426"/>
      <w:bookmarkStart w:id="7" w:name="_Toc15396598"/>
      <w:bookmarkStart w:id="8" w:name="_Toc15377194"/>
      <w:bookmarkStart w:id="9" w:name="_Toc15378442"/>
      <w:bookmarkStart w:id="10" w:name="_Toc15396476"/>
      <w:bookmarkEnd w:id="1"/>
      <w:bookmarkEnd w:id="2"/>
      <w:bookmarkEnd w:id="3"/>
      <w:bookmarkEnd w:id="4"/>
      <w:bookmarkEnd w:id="5"/>
    </w:p>
    <w:p w:rsidR="00921E9E" w:rsidRDefault="00B941C6">
      <w:pPr>
        <w:adjustRightInd w:val="0"/>
        <w:snapToGrid w:val="0"/>
        <w:spacing w:line="360" w:lineRule="auto"/>
        <w:jc w:val="center"/>
        <w:outlineLvl w:val="0"/>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四川省</w:t>
      </w:r>
      <w:bookmarkStart w:id="11" w:name="_Toc15306268"/>
      <w:bookmarkEnd w:id="0"/>
      <w:r>
        <w:rPr>
          <w:rFonts w:ascii="方正小标宋简体" w:eastAsia="方正小标宋简体" w:hAnsi="宋体" w:hint="eastAsia"/>
          <w:color w:val="000000"/>
          <w:sz w:val="52"/>
          <w:szCs w:val="52"/>
        </w:rPr>
        <w:t>人民代表大会常务委员会  办公厅部门决算</w:t>
      </w:r>
      <w:bookmarkEnd w:id="6"/>
      <w:bookmarkEnd w:id="7"/>
      <w:bookmarkEnd w:id="8"/>
      <w:bookmarkEnd w:id="9"/>
      <w:bookmarkEnd w:id="10"/>
      <w:bookmarkEnd w:id="11"/>
    </w:p>
    <w:p w:rsidR="00921E9E" w:rsidRDefault="00B941C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921E9E" w:rsidRDefault="00B941C6">
      <w:pPr>
        <w:widowControl/>
        <w:jc w:val="center"/>
        <w:rPr>
          <w:rFonts w:ascii="黑体" w:eastAsia="黑体" w:hAnsi="黑体" w:cstheme="minorBidi"/>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rsidR="00921E9E" w:rsidRDefault="00B941C6">
      <w:pPr>
        <w:pStyle w:val="10"/>
      </w:pPr>
      <w:r>
        <w:rPr>
          <w:rFonts w:hint="eastAsia"/>
        </w:rPr>
        <w:t>公开时间：2019年8月29日</w:t>
      </w:r>
    </w:p>
    <w:p w:rsidR="00921E9E" w:rsidRDefault="00921E9E"/>
    <w:p w:rsidR="00921E9E" w:rsidRDefault="00556A05">
      <w:pPr>
        <w:pStyle w:val="10"/>
        <w:jc w:val="both"/>
        <w:rPr>
          <w:rFonts w:cstheme="minorBidi"/>
        </w:rPr>
      </w:pPr>
      <w:hyperlink w:anchor="_Toc15396599" w:history="1">
        <w:r w:rsidR="00B941C6">
          <w:rPr>
            <w:rStyle w:val="a9"/>
            <w:rFonts w:hint="eastAsia"/>
          </w:rPr>
          <w:t>第一部分</w:t>
        </w:r>
        <w:r w:rsidR="00B941C6">
          <w:rPr>
            <w:rStyle w:val="a9"/>
          </w:rPr>
          <w:t xml:space="preserve"> </w:t>
        </w:r>
        <w:r w:rsidR="00B941C6">
          <w:rPr>
            <w:rStyle w:val="a9"/>
            <w:rFonts w:hint="eastAsia"/>
          </w:rPr>
          <w:t>部门概况</w:t>
        </w:r>
      </w:hyperlink>
    </w:p>
    <w:p w:rsidR="00921E9E" w:rsidRDefault="00556A05">
      <w:pPr>
        <w:pStyle w:val="20"/>
        <w:rPr>
          <w:rFonts w:ascii="仿宋" w:eastAsia="仿宋" w:hAnsi="仿宋" w:cstheme="minorBidi"/>
          <w:sz w:val="28"/>
          <w:szCs w:val="28"/>
        </w:rPr>
      </w:pPr>
      <w:hyperlink w:anchor="_Toc15396600" w:history="1">
        <w:r w:rsidR="00B941C6">
          <w:rPr>
            <w:rStyle w:val="a9"/>
            <w:rFonts w:ascii="仿宋" w:eastAsia="仿宋" w:hAnsi="仿宋" w:hint="eastAsia"/>
            <w:sz w:val="28"/>
            <w:szCs w:val="28"/>
          </w:rPr>
          <w:t>一、基本职能及主要工作</w:t>
        </w:r>
      </w:hyperlink>
    </w:p>
    <w:p w:rsidR="00921E9E" w:rsidRDefault="00556A05">
      <w:pPr>
        <w:pStyle w:val="20"/>
        <w:rPr>
          <w:rFonts w:ascii="仿宋" w:eastAsia="仿宋" w:hAnsi="仿宋" w:cstheme="minorBidi"/>
          <w:sz w:val="28"/>
          <w:szCs w:val="28"/>
        </w:rPr>
      </w:pPr>
      <w:hyperlink w:anchor="_Toc15396601" w:history="1">
        <w:r w:rsidR="00B941C6">
          <w:rPr>
            <w:rStyle w:val="a9"/>
            <w:rFonts w:ascii="仿宋" w:eastAsia="仿宋" w:hAnsi="仿宋" w:hint="eastAsia"/>
            <w:sz w:val="28"/>
            <w:szCs w:val="28"/>
          </w:rPr>
          <w:t>二、机构设置</w:t>
        </w:r>
      </w:hyperlink>
    </w:p>
    <w:p w:rsidR="00921E9E" w:rsidRDefault="00556A05">
      <w:pPr>
        <w:pStyle w:val="10"/>
        <w:jc w:val="both"/>
      </w:pPr>
      <w:hyperlink w:anchor="_Toc15396602" w:history="1">
        <w:r w:rsidR="00B941C6">
          <w:rPr>
            <w:rStyle w:val="a9"/>
            <w:rFonts w:hint="eastAsia"/>
          </w:rPr>
          <w:t>第二部分</w:t>
        </w:r>
        <w:r w:rsidR="00B941C6">
          <w:rPr>
            <w:rStyle w:val="a9"/>
          </w:rPr>
          <w:t xml:space="preserve"> 2018</w:t>
        </w:r>
        <w:r w:rsidR="00B941C6">
          <w:rPr>
            <w:rStyle w:val="a9"/>
            <w:rFonts w:hint="eastAsia"/>
          </w:rPr>
          <w:t>年度部门决算情况说明</w:t>
        </w:r>
      </w:hyperlink>
    </w:p>
    <w:p w:rsidR="00921E9E" w:rsidRDefault="00556A05">
      <w:pPr>
        <w:pStyle w:val="20"/>
        <w:rPr>
          <w:rFonts w:ascii="仿宋" w:eastAsia="仿宋" w:hAnsi="仿宋" w:cstheme="minorBidi"/>
          <w:sz w:val="28"/>
          <w:szCs w:val="28"/>
        </w:rPr>
      </w:pPr>
      <w:hyperlink w:anchor="_Toc15396603" w:history="1">
        <w:r w:rsidR="00B941C6">
          <w:rPr>
            <w:rStyle w:val="a9"/>
            <w:rFonts w:ascii="仿宋" w:eastAsia="仿宋" w:hAnsi="仿宋" w:cstheme="majorBidi" w:hint="eastAsia"/>
            <w:bCs/>
            <w:sz w:val="28"/>
            <w:szCs w:val="28"/>
          </w:rPr>
          <w:t>一、</w:t>
        </w:r>
        <w:r w:rsidR="00B941C6">
          <w:rPr>
            <w:rStyle w:val="a9"/>
            <w:rFonts w:ascii="仿宋" w:eastAsia="仿宋" w:hAnsi="仿宋" w:hint="eastAsia"/>
            <w:sz w:val="28"/>
            <w:szCs w:val="28"/>
          </w:rPr>
          <w:t>收</w:t>
        </w:r>
        <w:r w:rsidR="00B941C6">
          <w:rPr>
            <w:rStyle w:val="a9"/>
            <w:rFonts w:ascii="仿宋" w:eastAsia="仿宋" w:hAnsi="仿宋" w:cstheme="majorBidi" w:hint="eastAsia"/>
            <w:bCs/>
            <w:sz w:val="28"/>
            <w:szCs w:val="28"/>
          </w:rPr>
          <w:t>入支出决算总体情况说明</w:t>
        </w:r>
      </w:hyperlink>
    </w:p>
    <w:p w:rsidR="00921E9E" w:rsidRDefault="00556A05">
      <w:pPr>
        <w:pStyle w:val="20"/>
        <w:rPr>
          <w:rFonts w:ascii="仿宋" w:eastAsia="仿宋" w:hAnsi="仿宋" w:cstheme="minorBidi"/>
          <w:sz w:val="28"/>
          <w:szCs w:val="28"/>
        </w:rPr>
      </w:pPr>
      <w:hyperlink w:anchor="_Toc15396604" w:history="1">
        <w:r w:rsidR="00B941C6">
          <w:rPr>
            <w:rStyle w:val="a9"/>
            <w:rFonts w:ascii="仿宋" w:eastAsia="仿宋" w:hAnsi="仿宋" w:cstheme="majorBidi" w:hint="eastAsia"/>
            <w:bCs/>
            <w:sz w:val="28"/>
            <w:szCs w:val="28"/>
          </w:rPr>
          <w:t>二、</w:t>
        </w:r>
        <w:r w:rsidR="00B941C6">
          <w:rPr>
            <w:rStyle w:val="a9"/>
            <w:rFonts w:ascii="仿宋" w:eastAsia="仿宋" w:hAnsi="仿宋" w:hint="eastAsia"/>
            <w:sz w:val="28"/>
            <w:szCs w:val="28"/>
          </w:rPr>
          <w:t>收</w:t>
        </w:r>
        <w:r w:rsidR="00B941C6">
          <w:rPr>
            <w:rStyle w:val="a9"/>
            <w:rFonts w:ascii="仿宋" w:eastAsia="仿宋" w:hAnsi="仿宋" w:cstheme="majorBidi" w:hint="eastAsia"/>
            <w:bCs/>
            <w:sz w:val="28"/>
            <w:szCs w:val="28"/>
          </w:rPr>
          <w:t>入决算情况说明</w:t>
        </w:r>
      </w:hyperlink>
    </w:p>
    <w:p w:rsidR="00921E9E" w:rsidRDefault="00556A05">
      <w:pPr>
        <w:pStyle w:val="20"/>
        <w:rPr>
          <w:rFonts w:ascii="仿宋" w:eastAsia="仿宋" w:hAnsi="仿宋" w:cstheme="minorBidi"/>
          <w:sz w:val="28"/>
          <w:szCs w:val="28"/>
        </w:rPr>
      </w:pPr>
      <w:hyperlink w:anchor="_Toc15396605" w:history="1">
        <w:r w:rsidR="00B941C6">
          <w:rPr>
            <w:rStyle w:val="a9"/>
            <w:rFonts w:ascii="仿宋" w:eastAsia="仿宋" w:hAnsi="仿宋" w:cstheme="majorBidi" w:hint="eastAsia"/>
            <w:bCs/>
            <w:sz w:val="28"/>
            <w:szCs w:val="28"/>
          </w:rPr>
          <w:t>三、</w:t>
        </w:r>
        <w:r w:rsidR="00B941C6">
          <w:rPr>
            <w:rStyle w:val="a9"/>
            <w:rFonts w:ascii="仿宋" w:eastAsia="仿宋" w:hAnsi="仿宋" w:hint="eastAsia"/>
            <w:sz w:val="28"/>
            <w:szCs w:val="28"/>
          </w:rPr>
          <w:t>支</w:t>
        </w:r>
        <w:r w:rsidR="00B941C6">
          <w:rPr>
            <w:rStyle w:val="a9"/>
            <w:rFonts w:ascii="仿宋" w:eastAsia="仿宋" w:hAnsi="仿宋" w:cstheme="majorBidi" w:hint="eastAsia"/>
            <w:bCs/>
            <w:sz w:val="28"/>
            <w:szCs w:val="28"/>
          </w:rPr>
          <w:t>出决算情况说明</w:t>
        </w:r>
      </w:hyperlink>
    </w:p>
    <w:p w:rsidR="00921E9E" w:rsidRDefault="00556A05">
      <w:pPr>
        <w:pStyle w:val="20"/>
        <w:rPr>
          <w:rFonts w:ascii="仿宋" w:eastAsia="仿宋" w:hAnsi="仿宋" w:cstheme="minorBidi"/>
          <w:sz w:val="28"/>
          <w:szCs w:val="28"/>
        </w:rPr>
      </w:pPr>
      <w:hyperlink w:anchor="_Toc15396606" w:history="1">
        <w:r w:rsidR="00B941C6">
          <w:rPr>
            <w:rStyle w:val="a9"/>
            <w:rFonts w:ascii="仿宋" w:eastAsia="仿宋" w:hAnsi="仿宋" w:hint="eastAsia"/>
            <w:sz w:val="28"/>
            <w:szCs w:val="28"/>
          </w:rPr>
          <w:t>四、财</w:t>
        </w:r>
        <w:r w:rsidR="00B941C6">
          <w:rPr>
            <w:rStyle w:val="a9"/>
            <w:rFonts w:ascii="仿宋" w:eastAsia="仿宋" w:hAnsi="仿宋" w:cstheme="majorBidi" w:hint="eastAsia"/>
            <w:bCs/>
            <w:sz w:val="28"/>
            <w:szCs w:val="28"/>
          </w:rPr>
          <w:t>政拨款收入支出决算总体情况说明</w:t>
        </w:r>
      </w:hyperlink>
    </w:p>
    <w:p w:rsidR="00921E9E" w:rsidRDefault="00556A05">
      <w:pPr>
        <w:pStyle w:val="20"/>
        <w:rPr>
          <w:rFonts w:ascii="仿宋" w:eastAsia="仿宋" w:hAnsi="仿宋" w:cstheme="minorBidi"/>
          <w:sz w:val="28"/>
          <w:szCs w:val="28"/>
        </w:rPr>
      </w:pPr>
      <w:hyperlink w:anchor="_Toc15396607" w:history="1">
        <w:r w:rsidR="00B941C6">
          <w:rPr>
            <w:rStyle w:val="a9"/>
            <w:rFonts w:ascii="仿宋" w:eastAsia="仿宋" w:hAnsi="仿宋" w:hint="eastAsia"/>
            <w:sz w:val="28"/>
            <w:szCs w:val="28"/>
          </w:rPr>
          <w:t>五、一</w:t>
        </w:r>
        <w:r w:rsidR="00B941C6">
          <w:rPr>
            <w:rStyle w:val="a9"/>
            <w:rFonts w:ascii="仿宋" w:eastAsia="仿宋" w:hAnsi="仿宋" w:cstheme="majorBidi" w:hint="eastAsia"/>
            <w:bCs/>
            <w:sz w:val="28"/>
            <w:szCs w:val="28"/>
          </w:rPr>
          <w:t>般公共预算财政拨款支出决算情况说明</w:t>
        </w:r>
      </w:hyperlink>
    </w:p>
    <w:p w:rsidR="00921E9E" w:rsidRDefault="00556A05">
      <w:pPr>
        <w:pStyle w:val="20"/>
        <w:rPr>
          <w:rFonts w:ascii="仿宋" w:eastAsia="仿宋" w:hAnsi="仿宋" w:cstheme="minorBidi"/>
          <w:sz w:val="28"/>
          <w:szCs w:val="28"/>
        </w:rPr>
      </w:pPr>
      <w:hyperlink w:anchor="_Toc15396608" w:history="1">
        <w:r w:rsidR="00B941C6">
          <w:rPr>
            <w:rStyle w:val="a9"/>
            <w:rFonts w:ascii="仿宋" w:eastAsia="仿宋" w:hAnsi="仿宋" w:hint="eastAsia"/>
            <w:sz w:val="28"/>
            <w:szCs w:val="28"/>
          </w:rPr>
          <w:t>六、一</w:t>
        </w:r>
        <w:r w:rsidR="00B941C6">
          <w:rPr>
            <w:rStyle w:val="a9"/>
            <w:rFonts w:ascii="仿宋" w:eastAsia="仿宋" w:hAnsi="仿宋" w:cstheme="majorBidi" w:hint="eastAsia"/>
            <w:bCs/>
            <w:sz w:val="28"/>
            <w:szCs w:val="28"/>
          </w:rPr>
          <w:t>般公共预算财政拨款基本支出决算情况说明</w:t>
        </w:r>
      </w:hyperlink>
    </w:p>
    <w:p w:rsidR="00921E9E" w:rsidRDefault="00556A05">
      <w:pPr>
        <w:pStyle w:val="20"/>
        <w:rPr>
          <w:rFonts w:ascii="仿宋" w:eastAsia="仿宋" w:hAnsi="仿宋" w:cstheme="minorBidi"/>
          <w:sz w:val="28"/>
          <w:szCs w:val="28"/>
        </w:rPr>
      </w:pPr>
      <w:hyperlink w:anchor="_Toc15396609" w:history="1">
        <w:r w:rsidR="00B941C6">
          <w:rPr>
            <w:rStyle w:val="a9"/>
            <w:rFonts w:ascii="仿宋" w:eastAsia="仿宋" w:hAnsi="仿宋" w:hint="eastAsia"/>
            <w:sz w:val="28"/>
            <w:szCs w:val="28"/>
          </w:rPr>
          <w:t>七、</w:t>
        </w:r>
        <w:r w:rsidR="00B941C6">
          <w:rPr>
            <w:rStyle w:val="a9"/>
            <w:rFonts w:ascii="仿宋" w:eastAsia="仿宋" w:hAnsi="仿宋"/>
            <w:sz w:val="28"/>
            <w:szCs w:val="28"/>
          </w:rPr>
          <w:t>“</w:t>
        </w:r>
        <w:r w:rsidR="00B941C6">
          <w:rPr>
            <w:rStyle w:val="a9"/>
            <w:rFonts w:ascii="仿宋" w:eastAsia="仿宋" w:hAnsi="仿宋" w:cstheme="majorBidi" w:hint="eastAsia"/>
            <w:bCs/>
            <w:sz w:val="28"/>
            <w:szCs w:val="28"/>
          </w:rPr>
          <w:t>三公”经费财政拨款支出决算情况说明</w:t>
        </w:r>
      </w:hyperlink>
    </w:p>
    <w:p w:rsidR="00921E9E" w:rsidRDefault="00556A05">
      <w:pPr>
        <w:pStyle w:val="20"/>
        <w:rPr>
          <w:rFonts w:ascii="仿宋" w:eastAsia="仿宋" w:hAnsi="仿宋" w:cstheme="minorBidi"/>
          <w:sz w:val="28"/>
          <w:szCs w:val="28"/>
        </w:rPr>
      </w:pPr>
      <w:hyperlink w:anchor="_Toc15396610" w:history="1">
        <w:r w:rsidR="00B941C6">
          <w:rPr>
            <w:rStyle w:val="a9"/>
            <w:rFonts w:ascii="仿宋" w:eastAsia="仿宋" w:hAnsi="仿宋" w:hint="eastAsia"/>
            <w:sz w:val="28"/>
            <w:szCs w:val="28"/>
          </w:rPr>
          <w:t>八、</w:t>
        </w:r>
        <w:r w:rsidR="00B941C6">
          <w:rPr>
            <w:rStyle w:val="a9"/>
            <w:rFonts w:ascii="仿宋" w:eastAsia="仿宋" w:hAnsi="仿宋" w:cstheme="majorBidi" w:hint="eastAsia"/>
            <w:bCs/>
            <w:sz w:val="28"/>
            <w:szCs w:val="28"/>
          </w:rPr>
          <w:t>政府性基金预算支出决算情况说明</w:t>
        </w:r>
      </w:hyperlink>
    </w:p>
    <w:p w:rsidR="00921E9E" w:rsidRDefault="00556A05">
      <w:pPr>
        <w:pStyle w:val="20"/>
        <w:rPr>
          <w:rFonts w:ascii="仿宋" w:eastAsia="仿宋" w:hAnsi="仿宋"/>
          <w:sz w:val="28"/>
          <w:szCs w:val="28"/>
        </w:rPr>
      </w:pPr>
      <w:hyperlink w:anchor="_Toc15396611" w:history="1">
        <w:r w:rsidR="00B941C6">
          <w:rPr>
            <w:rStyle w:val="a9"/>
            <w:rFonts w:ascii="仿宋" w:eastAsia="仿宋" w:hAnsi="仿宋" w:cstheme="majorBidi" w:hint="eastAsia"/>
            <w:bCs/>
            <w:sz w:val="28"/>
            <w:szCs w:val="28"/>
          </w:rPr>
          <w:t>九、</w:t>
        </w:r>
        <w:r w:rsidR="00B941C6">
          <w:rPr>
            <w:rStyle w:val="a9"/>
            <w:rFonts w:ascii="仿宋" w:eastAsia="仿宋" w:hAnsi="仿宋" w:hint="eastAsia"/>
            <w:sz w:val="28"/>
            <w:szCs w:val="28"/>
          </w:rPr>
          <w:t xml:space="preserve"> 国</w:t>
        </w:r>
        <w:r w:rsidR="00B941C6">
          <w:rPr>
            <w:rStyle w:val="a9"/>
            <w:rFonts w:ascii="仿宋" w:eastAsia="仿宋" w:hAnsi="仿宋" w:cstheme="majorBidi" w:hint="eastAsia"/>
            <w:bCs/>
            <w:sz w:val="28"/>
            <w:szCs w:val="28"/>
          </w:rPr>
          <w:t>有资本经营预算支出决算情况说明</w:t>
        </w:r>
      </w:hyperlink>
    </w:p>
    <w:p w:rsidR="00921E9E" w:rsidRDefault="00556A05">
      <w:pPr>
        <w:pStyle w:val="20"/>
        <w:rPr>
          <w:rFonts w:ascii="仿宋" w:eastAsia="仿宋" w:hAnsi="仿宋"/>
          <w:sz w:val="28"/>
          <w:szCs w:val="28"/>
        </w:rPr>
      </w:pPr>
      <w:hyperlink w:anchor="_Toc15396611" w:history="1">
        <w:r w:rsidR="00B941C6">
          <w:rPr>
            <w:rStyle w:val="a9"/>
            <w:rFonts w:ascii="仿宋" w:eastAsia="仿宋" w:hAnsi="仿宋" w:cstheme="majorBidi" w:hint="eastAsia"/>
            <w:bCs/>
            <w:sz w:val="28"/>
            <w:szCs w:val="28"/>
          </w:rPr>
          <w:t>十、</w:t>
        </w:r>
        <w:r w:rsidR="00B941C6">
          <w:rPr>
            <w:rStyle w:val="a9"/>
            <w:rFonts w:ascii="仿宋" w:eastAsia="仿宋" w:hAnsi="仿宋" w:hint="eastAsia"/>
            <w:sz w:val="28"/>
            <w:szCs w:val="28"/>
          </w:rPr>
          <w:t xml:space="preserve"> 预算绩效情况说明</w:t>
        </w:r>
      </w:hyperlink>
    </w:p>
    <w:p w:rsidR="00921E9E" w:rsidRDefault="00556A05">
      <w:pPr>
        <w:pStyle w:val="20"/>
        <w:rPr>
          <w:rFonts w:ascii="仿宋" w:eastAsia="仿宋" w:hAnsi="仿宋" w:cstheme="minorBidi"/>
          <w:sz w:val="28"/>
          <w:szCs w:val="28"/>
        </w:rPr>
      </w:pPr>
      <w:hyperlink w:anchor="_Toc15396612" w:history="1">
        <w:r w:rsidR="00B941C6">
          <w:rPr>
            <w:rStyle w:val="a9"/>
            <w:rFonts w:ascii="仿宋" w:eastAsia="仿宋" w:hAnsi="仿宋" w:hint="eastAsia"/>
            <w:sz w:val="28"/>
            <w:szCs w:val="28"/>
          </w:rPr>
          <w:t>十</w:t>
        </w:r>
        <w:r w:rsidR="00B941C6">
          <w:rPr>
            <w:rStyle w:val="a9"/>
            <w:rFonts w:ascii="仿宋" w:eastAsia="仿宋" w:hAnsi="仿宋" w:cstheme="majorBidi" w:hint="eastAsia"/>
            <w:bCs/>
            <w:sz w:val="28"/>
            <w:szCs w:val="28"/>
          </w:rPr>
          <w:t>一、其他重要事项的情况说明</w:t>
        </w:r>
      </w:hyperlink>
    </w:p>
    <w:p w:rsidR="00921E9E" w:rsidRDefault="00556A05">
      <w:pPr>
        <w:pStyle w:val="10"/>
        <w:jc w:val="both"/>
        <w:rPr>
          <w:rFonts w:cstheme="minorBidi"/>
        </w:rPr>
      </w:pPr>
      <w:hyperlink w:anchor="_Toc15396613" w:history="1">
        <w:r w:rsidR="00B941C6">
          <w:rPr>
            <w:rStyle w:val="a9"/>
            <w:rFonts w:hint="eastAsia"/>
            <w:bCs/>
            <w:kern w:val="44"/>
          </w:rPr>
          <w:t>第三部分</w:t>
        </w:r>
        <w:r w:rsidR="00B941C6">
          <w:rPr>
            <w:rStyle w:val="a9"/>
            <w:rFonts w:hint="eastAsia"/>
          </w:rPr>
          <w:t xml:space="preserve"> 名</w:t>
        </w:r>
        <w:r w:rsidR="00B941C6">
          <w:rPr>
            <w:rStyle w:val="a9"/>
            <w:rFonts w:hint="eastAsia"/>
            <w:bCs/>
            <w:kern w:val="44"/>
          </w:rPr>
          <w:t>词解释</w:t>
        </w:r>
      </w:hyperlink>
    </w:p>
    <w:p w:rsidR="00921E9E" w:rsidRDefault="00556A05">
      <w:pPr>
        <w:pStyle w:val="10"/>
        <w:jc w:val="both"/>
        <w:rPr>
          <w:rFonts w:cstheme="minorBidi"/>
        </w:rPr>
      </w:pPr>
      <w:hyperlink w:anchor="_Toc15396614" w:history="1">
        <w:r w:rsidR="00B941C6">
          <w:rPr>
            <w:rStyle w:val="a9"/>
            <w:rFonts w:hint="eastAsia"/>
          </w:rPr>
          <w:t>第</w:t>
        </w:r>
        <w:r w:rsidR="00B941C6">
          <w:rPr>
            <w:rStyle w:val="a9"/>
            <w:rFonts w:hint="eastAsia"/>
            <w:bCs/>
            <w:kern w:val="44"/>
          </w:rPr>
          <w:t>四部分</w:t>
        </w:r>
        <w:r w:rsidR="00B941C6">
          <w:rPr>
            <w:rStyle w:val="a9"/>
            <w:bCs/>
            <w:kern w:val="44"/>
          </w:rPr>
          <w:t xml:space="preserve"> </w:t>
        </w:r>
        <w:r w:rsidR="00B941C6">
          <w:rPr>
            <w:rStyle w:val="a9"/>
            <w:rFonts w:hint="eastAsia"/>
            <w:bCs/>
            <w:kern w:val="44"/>
          </w:rPr>
          <w:t>附件</w:t>
        </w:r>
      </w:hyperlink>
    </w:p>
    <w:p w:rsidR="00921E9E" w:rsidRDefault="00556A05">
      <w:pPr>
        <w:pStyle w:val="10"/>
        <w:jc w:val="both"/>
        <w:rPr>
          <w:rFonts w:cstheme="minorBidi"/>
        </w:rPr>
      </w:pPr>
      <w:hyperlink w:anchor="_Toc15396618" w:history="1">
        <w:r w:rsidR="00B941C6">
          <w:rPr>
            <w:rStyle w:val="a9"/>
            <w:rFonts w:hint="eastAsia"/>
          </w:rPr>
          <w:t>第</w:t>
        </w:r>
        <w:r w:rsidR="00B941C6">
          <w:rPr>
            <w:rStyle w:val="a9"/>
            <w:rFonts w:hint="eastAsia"/>
            <w:bCs/>
            <w:kern w:val="44"/>
          </w:rPr>
          <w:t>五部分</w:t>
        </w:r>
        <w:r w:rsidR="00B941C6">
          <w:rPr>
            <w:rStyle w:val="a9"/>
            <w:bCs/>
            <w:kern w:val="44"/>
          </w:rPr>
          <w:t xml:space="preserve"> </w:t>
        </w:r>
        <w:r w:rsidR="00B941C6">
          <w:rPr>
            <w:rStyle w:val="a9"/>
            <w:rFonts w:hint="eastAsia"/>
            <w:bCs/>
            <w:kern w:val="44"/>
          </w:rPr>
          <w:t>附表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9"/>
            <w:rFonts w:ascii="仿宋" w:eastAsia="仿宋" w:hAnsi="仿宋" w:hint="eastAsia"/>
            <w:sz w:val="28"/>
            <w:szCs w:val="28"/>
          </w:rPr>
          <w:t>收入支出决算总表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sz w:val="28"/>
            <w:szCs w:val="28"/>
          </w:rPr>
          <w:t>收入总表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sz w:val="28"/>
            <w:szCs w:val="28"/>
          </w:rPr>
          <w:t>支出总表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sz w:val="28"/>
            <w:szCs w:val="28"/>
          </w:rPr>
          <w:t>财政拨款收入支出决算总表</w:t>
        </w:r>
      </w:hyperlink>
    </w:p>
    <w:p w:rsidR="00921E9E" w:rsidRDefault="00B941C6">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sz w:val="28"/>
            <w:szCs w:val="28"/>
          </w:rPr>
          <w:t>一般公共预算财政拨款支出决算表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sz w:val="28"/>
            <w:szCs w:val="28"/>
          </w:rPr>
          <w:t>一般公共预算财政拨款支出决算明细表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sz w:val="28"/>
            <w:szCs w:val="28"/>
          </w:rPr>
          <w:t>一般公共预算财政拨款基本支出决算表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sz w:val="28"/>
            <w:szCs w:val="28"/>
          </w:rPr>
          <w:t>一般公共预算财政拨款项目支出决算表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sz w:val="28"/>
            <w:szCs w:val="28"/>
          </w:rPr>
          <w:t>一般公共预算财政拨款“三公”经费支出决算表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sz w:val="28"/>
            <w:szCs w:val="28"/>
          </w:rPr>
          <w:t>政府性基金预算财政拨款收入支出决算表</w:t>
        </w:r>
      </w:hyperlink>
    </w:p>
    <w:p w:rsidR="00921E9E" w:rsidRDefault="00B941C6">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sz w:val="28"/>
            <w:szCs w:val="28"/>
          </w:rPr>
          <w:t>政府性基金预算财政拨款“三公”经费支出决算表</w:t>
        </w:r>
      </w:hyperlink>
    </w:p>
    <w:p w:rsidR="00921E9E" w:rsidRDefault="00B941C6">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sz w:val="28"/>
            <w:szCs w:val="28"/>
          </w:rPr>
          <w:t>国有资本经营预算支出决算表</w:t>
        </w:r>
      </w:hyperlink>
    </w:p>
    <w:p w:rsidR="00921E9E" w:rsidRDefault="00B941C6">
      <w:pPr>
        <w:widowControl/>
        <w:jc w:val="left"/>
        <w:rPr>
          <w:rFonts w:ascii="仿宋" w:eastAsia="仿宋" w:hAnsi="仿宋"/>
          <w:color w:val="000000"/>
          <w:sz w:val="24"/>
        </w:rPr>
      </w:pPr>
      <w:r>
        <w:rPr>
          <w:rFonts w:ascii="仿宋" w:eastAsia="仿宋" w:hAnsi="仿宋"/>
          <w:color w:val="000000"/>
          <w:sz w:val="24"/>
        </w:rPr>
        <w:fldChar w:fldCharType="end"/>
      </w:r>
    </w:p>
    <w:p w:rsidR="00921E9E" w:rsidRDefault="00B941C6">
      <w:pPr>
        <w:widowControl/>
        <w:jc w:val="left"/>
        <w:rPr>
          <w:rFonts w:ascii="黑体" w:eastAsia="黑体" w:hAnsi="黑体"/>
          <w:bCs/>
          <w:kern w:val="44"/>
          <w:sz w:val="44"/>
          <w:szCs w:val="44"/>
        </w:rPr>
      </w:pPr>
      <w:bookmarkStart w:id="12" w:name="_Toc15396599"/>
      <w:bookmarkStart w:id="13" w:name="_Toc15377196"/>
      <w:r>
        <w:rPr>
          <w:rFonts w:ascii="黑体" w:eastAsia="黑体" w:hAnsi="黑体"/>
          <w:b/>
        </w:rPr>
        <w:br w:type="page"/>
      </w:r>
    </w:p>
    <w:p w:rsidR="00921E9E" w:rsidRDefault="00B941C6">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21E9E" w:rsidRDefault="00921E9E">
      <w:pPr>
        <w:widowControl/>
        <w:jc w:val="left"/>
        <w:rPr>
          <w:rFonts w:ascii="黑体" w:eastAsia="黑体"/>
          <w:color w:val="000000"/>
          <w:sz w:val="32"/>
          <w:szCs w:val="32"/>
        </w:rPr>
      </w:pPr>
    </w:p>
    <w:p w:rsidR="00921E9E" w:rsidRDefault="00B941C6">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21E9E" w:rsidRDefault="00B941C6">
      <w:pPr>
        <w:snapToGrid w:val="0"/>
        <w:spacing w:beforeLines="50" w:before="156" w:line="580" w:lineRule="exact"/>
        <w:ind w:firstLine="641"/>
        <w:rPr>
          <w:rFonts w:eastAsia="方正仿宋简体"/>
          <w:sz w:val="32"/>
          <w:szCs w:val="32"/>
        </w:rPr>
      </w:pPr>
      <w:bookmarkStart w:id="16" w:name="_Toc15377198"/>
      <w:bookmarkStart w:id="17" w:name="_Toc15378445"/>
      <w:r>
        <w:rPr>
          <w:rFonts w:ascii="仿宋" w:eastAsia="仿宋" w:hAnsi="仿宋" w:hint="eastAsia"/>
          <w:bCs/>
          <w:color w:val="000000"/>
          <w:sz w:val="32"/>
          <w:szCs w:val="32"/>
        </w:rPr>
        <w:t>（一）主要职能。</w:t>
      </w:r>
      <w:bookmarkStart w:id="18" w:name="_Toc15377199"/>
      <w:bookmarkStart w:id="19" w:name="_Toc15378446"/>
      <w:bookmarkEnd w:id="16"/>
      <w:bookmarkEnd w:id="17"/>
      <w:r>
        <w:rPr>
          <w:rFonts w:eastAsia="方正仿宋简体"/>
          <w:sz w:val="32"/>
          <w:szCs w:val="32"/>
        </w:rPr>
        <w:t>四川省人大常委会办公厅是四川省人大常委会的办事工作机构，主要职责是：</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承担省人民代表大会会议、常委会会议、常委会党组会议、常委会主任会议和秘书长会议、机关党组会议的会务工作及会议决定事项的督办工作。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负责常委会组成人员视察和常委会执法检查的有关工作。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负责省人大及其常委会的文电、档案、保密、文印工作；负常委会机关信息网络建设和办公自动化建设；负责编辑出版《四川省人大常委会公报》。</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受主任会议委托，拟订有关议案草案。</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承办省人大常委会同各市、州、县人大常委会联系的有关工作。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省人大常委会的新闻发布会和宣传工作，组织对省人民代表大会、常委会会议、常委会主任会议以及对民主法制建设、人大制度、人大工作的宣传报道。受常委会委托，负责联系宣传新闻部门和常委会机关刊物，分管《人民权力</w:t>
      </w:r>
      <w:r>
        <w:rPr>
          <w:rFonts w:eastAsia="方正仿宋简体"/>
          <w:sz w:val="32"/>
          <w:szCs w:val="32"/>
        </w:rPr>
        <w:lastRenderedPageBreak/>
        <w:t>报》和《民主法制建设》杂志。</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负责省人大机关的机构编制、人事管理、干部培训工作及离退休人员的管理服务工作。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负责省人大机关、锦江大礼堂的安全保卫和管理工作。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协办全国人大常委会领导同志来川视察的接待工作，承办兄弟省</w:t>
      </w:r>
      <w:r>
        <w:rPr>
          <w:rFonts w:eastAsia="方正仿宋简体"/>
          <w:sz w:val="32"/>
          <w:szCs w:val="32"/>
        </w:rPr>
        <w:t>(</w:t>
      </w:r>
      <w:r>
        <w:rPr>
          <w:rFonts w:eastAsia="方正仿宋简体"/>
          <w:sz w:val="32"/>
          <w:szCs w:val="32"/>
        </w:rPr>
        <w:t>区、市</w:t>
      </w:r>
      <w:r>
        <w:rPr>
          <w:rFonts w:eastAsia="方正仿宋简体"/>
          <w:sz w:val="32"/>
          <w:szCs w:val="32"/>
        </w:rPr>
        <w:t>)</w:t>
      </w:r>
      <w:r>
        <w:rPr>
          <w:rFonts w:eastAsia="方正仿宋简体"/>
          <w:sz w:val="32"/>
          <w:szCs w:val="32"/>
        </w:rPr>
        <w:t>人大常委会领导同志来川考察的接待工作。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负责省人大机关的财务管理、国有资产管理工作。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受省人大常委会、常委会党组会议、常委会主任会议、机关党组会议、秘书长会议和常委会主任、副主任、秘书长的委托，综合协调常委会及专门委员会办事工作机构的工作。</w:t>
      </w:r>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承办省人大常委会、常委会党组会议、常委会主任会议、机关党组会议、秘书长会议和常委会主任、副主任、秘书长、副秘书长交办的有关工作。</w:t>
      </w:r>
    </w:p>
    <w:p w:rsidR="00921E9E" w:rsidRDefault="00B941C6">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8年重点工作完成情况。</w:t>
      </w:r>
      <w:bookmarkEnd w:id="18"/>
      <w:bookmarkEnd w:id="19"/>
    </w:p>
    <w:p w:rsidR="00921E9E" w:rsidRDefault="00B941C6">
      <w:pPr>
        <w:pStyle w:val="2"/>
        <w:rPr>
          <w:rStyle w:val="2Char"/>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921E9E" w:rsidRDefault="00B941C6">
      <w:pPr>
        <w:snapToGrid w:val="0"/>
        <w:spacing w:beforeLines="50" w:before="156" w:line="580" w:lineRule="exact"/>
        <w:ind w:firstLine="641"/>
        <w:rPr>
          <w:rFonts w:eastAsia="方正仿宋简体"/>
          <w:sz w:val="32"/>
          <w:szCs w:val="32"/>
        </w:rPr>
      </w:pPr>
      <w:r>
        <w:rPr>
          <w:rFonts w:eastAsia="方正仿宋简体"/>
          <w:sz w:val="32"/>
          <w:szCs w:val="32"/>
        </w:rPr>
        <w:t>省人大常委会办公厅下属二级预算单位四个，其中行政单位一个，参照公务员法管理的事业单位一个，其他事业单位两个。主要包括：四川省人大常委会办公厅</w:t>
      </w:r>
      <w:r>
        <w:rPr>
          <w:rFonts w:eastAsia="方正仿宋简体" w:hint="eastAsia"/>
          <w:sz w:val="32"/>
          <w:szCs w:val="32"/>
        </w:rPr>
        <w:t>本级</w:t>
      </w:r>
      <w:r>
        <w:rPr>
          <w:rFonts w:eastAsia="方正仿宋简体"/>
          <w:sz w:val="32"/>
          <w:szCs w:val="32"/>
        </w:rPr>
        <w:t>、四川省省级机关老干部休养三所、四川省人大常委会办公厅机关服务中心</w:t>
      </w:r>
      <w:r>
        <w:rPr>
          <w:rFonts w:eastAsia="方正仿宋简体" w:hint="eastAsia"/>
          <w:sz w:val="32"/>
          <w:szCs w:val="32"/>
        </w:rPr>
        <w:t>和</w:t>
      </w:r>
      <w:r>
        <w:rPr>
          <w:rFonts w:eastAsia="方正仿宋简体"/>
          <w:sz w:val="32"/>
          <w:szCs w:val="32"/>
        </w:rPr>
        <w:t>四川省人大常委会办公厅信息中心。</w:t>
      </w:r>
    </w:p>
    <w:p w:rsidR="00921E9E" w:rsidRDefault="00B941C6">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921E9E" w:rsidRDefault="00B941C6">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2018年度部门决算情况说明</w:t>
      </w:r>
      <w:bookmarkEnd w:id="22"/>
      <w:bookmarkEnd w:id="23"/>
    </w:p>
    <w:p w:rsidR="00921E9E" w:rsidRDefault="00921E9E"/>
    <w:p w:rsidR="00921E9E" w:rsidRDefault="00B941C6">
      <w:pPr>
        <w:pStyle w:val="aa"/>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921E9E" w:rsidRDefault="00B941C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2018年度收、支总计15651.87万元。与2017年相比，收、支总计各增加675.01万元，增长4.51</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eastAsia="方正仿宋简体" w:hint="eastAsia"/>
          <w:sz w:val="32"/>
          <w:szCs w:val="32"/>
        </w:rPr>
        <w:t>人员经费和人代会会议费、代表全覆盖培训费支出增加和上年结转结余资金变化。</w:t>
      </w:r>
    </w:p>
    <w:p w:rsidR="00921E9E" w:rsidRDefault="00B941C6">
      <w:pPr>
        <w:spacing w:line="600" w:lineRule="exact"/>
        <w:jc w:val="left"/>
        <w:rPr>
          <w:rFonts w:ascii="仿宋_GB2312" w:eastAsia="仿宋_GB2312"/>
          <w:color w:val="000000"/>
          <w:sz w:val="32"/>
          <w:szCs w:val="32"/>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572000" cy="2743200"/>
            <wp:effectExtent l="0" t="0" r="19050" b="190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21E9E" w:rsidRDefault="00B941C6">
      <w:pPr>
        <w:pStyle w:val="aa"/>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921E9E" w:rsidRDefault="00B941C6">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8年本年收入合计12336.77万元，其中：</w:t>
      </w:r>
      <w:r>
        <w:rPr>
          <w:rFonts w:ascii="仿宋" w:eastAsia="仿宋" w:hAnsi="仿宋" w:hint="eastAsia"/>
          <w:color w:val="000000" w:themeColor="text1"/>
          <w:sz w:val="32"/>
          <w:szCs w:val="32"/>
        </w:rPr>
        <w:t>一般公共预算财政拨款收入12327.02万元，占99.999</w:t>
      </w:r>
      <w:r>
        <w:rPr>
          <w:rFonts w:ascii="仿宋" w:eastAsia="仿宋" w:hAnsi="仿宋"/>
          <w:color w:val="000000" w:themeColor="text1"/>
          <w:sz w:val="32"/>
          <w:szCs w:val="32"/>
        </w:rPr>
        <w:t>%</w:t>
      </w:r>
      <w:r>
        <w:rPr>
          <w:rFonts w:ascii="仿宋" w:eastAsia="仿宋" w:hAnsi="仿宋" w:hint="eastAsia"/>
          <w:color w:val="000000" w:themeColor="text1"/>
          <w:sz w:val="32"/>
          <w:szCs w:val="32"/>
        </w:rPr>
        <w:t>；政府性基金预算财政拨款收入0万元，占0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；国有资本经营预算财政拨款收入0万元，占0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；事业收入0万元，占0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；经营收入0万元，占0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；附属单位上缴收入0万元，占0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；其他收入9.75万元，占0.001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921E9E" w:rsidRDefault="00B941C6">
      <w:pPr>
        <w:pStyle w:val="aa"/>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noProof/>
        </w:rPr>
        <w:lastRenderedPageBreak/>
        <w:drawing>
          <wp:anchor distT="0" distB="0" distL="114300" distR="114300" simplePos="0" relativeHeight="251659264" behindDoc="0" locked="0" layoutInCell="1" allowOverlap="1">
            <wp:simplePos x="0" y="0"/>
            <wp:positionH relativeFrom="margin">
              <wp:posOffset>161925</wp:posOffset>
            </wp:positionH>
            <wp:positionV relativeFrom="margin">
              <wp:posOffset>-76200</wp:posOffset>
            </wp:positionV>
            <wp:extent cx="4972050" cy="2590800"/>
            <wp:effectExtent l="0" t="0" r="19050" b="190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921E9E" w:rsidRDefault="00B941C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8年本年支出合计12533.5万元，其中：基本支出6861.14万元，占54.74</w:t>
      </w:r>
      <w:r>
        <w:rPr>
          <w:rFonts w:ascii="仿宋" w:eastAsia="仿宋" w:hAnsi="仿宋"/>
          <w:color w:val="000000"/>
          <w:sz w:val="32"/>
          <w:szCs w:val="32"/>
        </w:rPr>
        <w:t>%</w:t>
      </w:r>
      <w:r>
        <w:rPr>
          <w:rFonts w:ascii="仿宋" w:eastAsia="仿宋" w:hAnsi="仿宋" w:hint="eastAsia"/>
          <w:color w:val="000000"/>
          <w:sz w:val="32"/>
          <w:szCs w:val="32"/>
        </w:rPr>
        <w:t>；项目支出5672.36万元，占45.26</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921E9E" w:rsidRDefault="00B941C6">
      <w:pPr>
        <w:spacing w:line="600" w:lineRule="exact"/>
        <w:ind w:firstLineChars="97" w:firstLine="351"/>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图三：支出决算结构图</w:t>
      </w:r>
    </w:p>
    <w:p w:rsidR="00921E9E" w:rsidRDefault="00B941C6">
      <w:pPr>
        <w:spacing w:line="600" w:lineRule="exact"/>
        <w:ind w:firstLineChars="200" w:firstLine="420"/>
        <w:outlineLvl w:val="1"/>
        <w:rPr>
          <w:rStyle w:val="2Char"/>
          <w:rFonts w:ascii="黑体" w:eastAsia="黑体" w:hAnsi="黑体"/>
          <w:b w:val="0"/>
        </w:rPr>
      </w:pPr>
      <w:bookmarkStart w:id="30" w:name="_Toc15396606"/>
      <w:bookmarkStart w:id="31" w:name="_Toc15377208"/>
      <w:r>
        <w:rPr>
          <w:noProof/>
        </w:rPr>
        <w:drawing>
          <wp:anchor distT="0" distB="0" distL="114300" distR="114300" simplePos="0" relativeHeight="251660288" behindDoc="0" locked="0" layoutInCell="1" allowOverlap="1">
            <wp:simplePos x="0" y="0"/>
            <wp:positionH relativeFrom="margin">
              <wp:posOffset>8255</wp:posOffset>
            </wp:positionH>
            <wp:positionV relativeFrom="margin">
              <wp:posOffset>5012690</wp:posOffset>
            </wp:positionV>
            <wp:extent cx="5274310" cy="2102485"/>
            <wp:effectExtent l="0" t="0" r="21590" b="1206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921E9E" w:rsidRDefault="00B941C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8年财政拨款收、支总计12327.02万元。与</w:t>
      </w:r>
      <w:r>
        <w:rPr>
          <w:rFonts w:ascii="仿宋" w:eastAsia="仿宋" w:hAnsi="仿宋"/>
          <w:color w:val="000000"/>
          <w:sz w:val="32"/>
          <w:szCs w:val="32"/>
        </w:rPr>
        <w:t>201</w:t>
      </w:r>
      <w:r>
        <w:rPr>
          <w:rFonts w:ascii="仿宋" w:eastAsia="仿宋" w:hAnsi="仿宋" w:hint="eastAsia"/>
          <w:color w:val="000000"/>
          <w:sz w:val="32"/>
          <w:szCs w:val="32"/>
        </w:rPr>
        <w:t>7年相比，财政拨款收、支总计各增加986.87万元，增长8.7</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eastAsia="方正仿宋简体" w:hint="eastAsia"/>
          <w:sz w:val="32"/>
          <w:szCs w:val="32"/>
        </w:rPr>
        <w:t>人员工资支出、人代会代表换届会议费支出</w:t>
      </w:r>
      <w:r>
        <w:rPr>
          <w:noProof/>
        </w:rPr>
        <w:lastRenderedPageBreak/>
        <w:drawing>
          <wp:anchor distT="0" distB="0" distL="114300" distR="114300" simplePos="0" relativeHeight="251661312" behindDoc="0" locked="0" layoutInCell="1" allowOverlap="1">
            <wp:simplePos x="0" y="0"/>
            <wp:positionH relativeFrom="margin">
              <wp:posOffset>-171450</wp:posOffset>
            </wp:positionH>
            <wp:positionV relativeFrom="margin">
              <wp:posOffset>1000125</wp:posOffset>
            </wp:positionV>
            <wp:extent cx="5657850" cy="2743200"/>
            <wp:effectExtent l="0" t="0" r="19050" b="190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方正仿宋简体" w:hint="eastAsia"/>
          <w:sz w:val="32"/>
          <w:szCs w:val="32"/>
        </w:rPr>
        <w:t>以及代表全覆盖培训费支出增加。</w:t>
      </w:r>
    </w:p>
    <w:p w:rsidR="00921E9E" w:rsidRDefault="00B941C6">
      <w:pPr>
        <w:spacing w:line="600" w:lineRule="exact"/>
        <w:ind w:firstLineChars="200" w:firstLine="420"/>
        <w:outlineLvl w:val="1"/>
        <w:rPr>
          <w:rStyle w:val="2Char"/>
          <w:rFonts w:ascii="黑体" w:eastAsia="黑体" w:hAnsi="黑体"/>
          <w:b w:val="0"/>
        </w:rPr>
      </w:pPr>
      <w:bookmarkStart w:id="32" w:name="_Toc15377209"/>
      <w:bookmarkStart w:id="33" w:name="_Toc15396607"/>
      <w:r>
        <w:rPr>
          <w:noProof/>
        </w:rPr>
        <w:drawing>
          <wp:anchor distT="0" distB="0" distL="114300" distR="114300" simplePos="0" relativeHeight="251663360" behindDoc="0" locked="0" layoutInCell="1" allowOverlap="1">
            <wp:simplePos x="0" y="0"/>
            <wp:positionH relativeFrom="margin">
              <wp:posOffset>-171450</wp:posOffset>
            </wp:positionH>
            <wp:positionV relativeFrom="margin">
              <wp:posOffset>1000125</wp:posOffset>
            </wp:positionV>
            <wp:extent cx="5657850" cy="2638425"/>
            <wp:effectExtent l="0" t="0" r="19050" b="952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921E9E" w:rsidRDefault="00B941C6">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921E9E" w:rsidRDefault="00B941C6">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5408" behindDoc="0" locked="0" layoutInCell="1" allowOverlap="1">
            <wp:simplePos x="0" y="0"/>
            <wp:positionH relativeFrom="margin">
              <wp:posOffset>-171450</wp:posOffset>
            </wp:positionH>
            <wp:positionV relativeFrom="margin">
              <wp:posOffset>6200775</wp:posOffset>
            </wp:positionV>
            <wp:extent cx="5657850" cy="2657475"/>
            <wp:effectExtent l="0" t="0" r="19050"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color w:val="000000"/>
          <w:sz w:val="32"/>
          <w:szCs w:val="32"/>
        </w:rPr>
        <w:t>201</w:t>
      </w:r>
      <w:r>
        <w:rPr>
          <w:rFonts w:ascii="仿宋" w:eastAsia="仿宋" w:hAnsi="仿宋" w:hint="eastAsia"/>
          <w:color w:val="000000"/>
          <w:sz w:val="32"/>
          <w:szCs w:val="32"/>
        </w:rPr>
        <w:t>8年一般公共预算财政拨款支出12327.02万元，占本年支出合计的</w:t>
      </w:r>
      <w:r>
        <w:rPr>
          <w:rFonts w:ascii="仿宋" w:eastAsia="仿宋" w:hAnsi="仿宋" w:hint="eastAsia"/>
          <w:color w:val="000000" w:themeColor="text1"/>
          <w:sz w:val="32"/>
          <w:szCs w:val="32"/>
        </w:rPr>
        <w:t>99.99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7年相比，一般公共预算财政拨款增加986.87万元，增长8.7</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eastAsia="方正仿宋简体" w:hint="eastAsia"/>
          <w:sz w:val="32"/>
          <w:szCs w:val="32"/>
        </w:rPr>
        <w:t>人员工资支出、人代会代表换届会议费支出以及代表全覆盖培训费支出增加。</w:t>
      </w:r>
    </w:p>
    <w:p w:rsidR="00921E9E" w:rsidRDefault="00B941C6">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lastRenderedPageBreak/>
        <w:t>（二）一般公共预算财政拨款支出决算结构情况</w:t>
      </w:r>
      <w:bookmarkEnd w:id="35"/>
    </w:p>
    <w:p w:rsidR="00921E9E" w:rsidRDefault="00B941C6">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201</w:t>
      </w:r>
      <w:r>
        <w:rPr>
          <w:rFonts w:ascii="仿宋" w:eastAsia="仿宋" w:hAnsi="仿宋" w:hint="eastAsia"/>
          <w:color w:val="000000" w:themeColor="text1"/>
          <w:sz w:val="32"/>
          <w:szCs w:val="32"/>
        </w:rPr>
        <w:t>8年一般公共预算财政拨款支出12327.02万元，主要用于以下方面</w:t>
      </w:r>
      <w:r>
        <w:rPr>
          <w:rFonts w:ascii="仿宋" w:eastAsia="仿宋" w:hAnsi="仿宋"/>
          <w:color w:val="000000" w:themeColor="text1"/>
          <w:sz w:val="32"/>
          <w:szCs w:val="32"/>
        </w:rPr>
        <w:t>:</w:t>
      </w:r>
      <w:r>
        <w:rPr>
          <w:rFonts w:ascii="仿宋" w:eastAsia="仿宋" w:hAnsi="仿宋" w:hint="eastAsia"/>
          <w:color w:val="000000" w:themeColor="text1"/>
          <w:sz w:val="32"/>
          <w:szCs w:val="32"/>
        </w:rPr>
        <w:t>一般公共服务（类）支出9517.6万元，占77.21</w:t>
      </w:r>
      <w:r>
        <w:rPr>
          <w:rFonts w:ascii="仿宋" w:eastAsia="仿宋" w:hAnsi="仿宋"/>
          <w:color w:val="000000" w:themeColor="text1"/>
          <w:sz w:val="32"/>
          <w:szCs w:val="32"/>
        </w:rPr>
        <w:t>%</w:t>
      </w:r>
      <w:r>
        <w:rPr>
          <w:rFonts w:ascii="仿宋" w:eastAsia="仿宋" w:hAnsi="仿宋" w:hint="eastAsia"/>
          <w:color w:val="000000" w:themeColor="text1"/>
          <w:sz w:val="32"/>
          <w:szCs w:val="32"/>
        </w:rPr>
        <w:t>；教育支出（类）464.89万元，占3.77</w:t>
      </w:r>
      <w:r>
        <w:rPr>
          <w:rFonts w:ascii="仿宋" w:eastAsia="仿宋" w:hAnsi="仿宋"/>
          <w:color w:val="000000" w:themeColor="text1"/>
          <w:sz w:val="32"/>
          <w:szCs w:val="32"/>
        </w:rPr>
        <w:t>%</w:t>
      </w:r>
      <w:r>
        <w:rPr>
          <w:rFonts w:ascii="仿宋" w:eastAsia="仿宋" w:hAnsi="仿宋" w:hint="eastAsia"/>
          <w:color w:val="000000" w:themeColor="text1"/>
          <w:sz w:val="32"/>
          <w:szCs w:val="32"/>
        </w:rPr>
        <w:t>；科学技术（类）支出0万元，占0</w:t>
      </w:r>
      <w:r>
        <w:rPr>
          <w:rFonts w:ascii="仿宋" w:eastAsia="仿宋" w:hAnsi="仿宋"/>
          <w:color w:val="000000" w:themeColor="text1"/>
          <w:sz w:val="32"/>
          <w:szCs w:val="32"/>
        </w:rPr>
        <w:t>%</w:t>
      </w:r>
      <w:r>
        <w:rPr>
          <w:rFonts w:ascii="仿宋" w:eastAsia="仿宋" w:hAnsi="仿宋" w:hint="eastAsia"/>
          <w:color w:val="000000" w:themeColor="text1"/>
          <w:sz w:val="32"/>
          <w:szCs w:val="32"/>
        </w:rPr>
        <w:t>；社会保障和就业（类）支出1280.78万元，占10.39</w:t>
      </w:r>
      <w:r>
        <w:rPr>
          <w:rFonts w:ascii="仿宋" w:eastAsia="仿宋" w:hAnsi="仿宋"/>
          <w:color w:val="000000" w:themeColor="text1"/>
          <w:sz w:val="32"/>
          <w:szCs w:val="32"/>
        </w:rPr>
        <w:t>%</w:t>
      </w:r>
      <w:r>
        <w:rPr>
          <w:rFonts w:ascii="仿宋" w:eastAsia="仿宋" w:hAnsi="仿宋" w:hint="eastAsia"/>
          <w:color w:val="000000" w:themeColor="text1"/>
          <w:sz w:val="32"/>
          <w:szCs w:val="32"/>
        </w:rPr>
        <w:t>；医疗卫生支出369.19万元，占2.99</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；住房保障支出688.07万元，占5.58</w:t>
      </w:r>
      <w:r>
        <w:rPr>
          <w:rFonts w:ascii="仿宋" w:eastAsia="仿宋" w:hAnsi="仿宋"/>
          <w:color w:val="000000" w:themeColor="text1"/>
          <w:sz w:val="32"/>
          <w:szCs w:val="32"/>
        </w:rPr>
        <w:t>%</w:t>
      </w:r>
      <w:r>
        <w:rPr>
          <w:rFonts w:ascii="仿宋" w:eastAsia="仿宋" w:hAnsi="仿宋" w:hint="eastAsia"/>
          <w:color w:val="000000" w:themeColor="text1"/>
          <w:sz w:val="32"/>
          <w:szCs w:val="32"/>
        </w:rPr>
        <w:t>；其他支出6.49，占0.05%。</w:t>
      </w:r>
    </w:p>
    <w:p w:rsidR="00921E9E" w:rsidRDefault="00B941C6">
      <w:pPr>
        <w:spacing w:line="600" w:lineRule="exact"/>
        <w:ind w:firstLineChars="200" w:firstLine="420"/>
        <w:outlineLvl w:val="2"/>
        <w:rPr>
          <w:rFonts w:ascii="仿宋" w:eastAsia="仿宋" w:hAnsi="仿宋"/>
          <w:b/>
          <w:color w:val="000000"/>
          <w:sz w:val="32"/>
          <w:szCs w:val="32"/>
        </w:rPr>
      </w:pPr>
      <w:bookmarkStart w:id="36" w:name="_Toc15377212"/>
      <w:r>
        <w:rPr>
          <w:noProof/>
        </w:rPr>
        <w:drawing>
          <wp:anchor distT="0" distB="0" distL="114300" distR="114300" simplePos="0" relativeHeight="251666432" behindDoc="0" locked="0" layoutInCell="1" allowOverlap="1">
            <wp:simplePos x="0" y="0"/>
            <wp:positionH relativeFrom="margin">
              <wp:posOffset>103505</wp:posOffset>
            </wp:positionH>
            <wp:positionV relativeFrom="margin">
              <wp:posOffset>3212465</wp:posOffset>
            </wp:positionV>
            <wp:extent cx="5334000" cy="3152775"/>
            <wp:effectExtent l="0" t="0" r="19050" b="952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hint="eastAsia"/>
          <w:b/>
          <w:color w:val="000000"/>
          <w:sz w:val="32"/>
          <w:szCs w:val="32"/>
        </w:rPr>
        <w:t>（三）一般公共预算财政拨款支出决算具体情况</w:t>
      </w:r>
      <w:bookmarkEnd w:id="36"/>
    </w:p>
    <w:p w:rsidR="00921E9E" w:rsidRDefault="00B941C6">
      <w:pPr>
        <w:spacing w:line="600" w:lineRule="exact"/>
        <w:ind w:firstLineChars="200" w:firstLine="640"/>
        <w:outlineLvl w:val="2"/>
        <w:rPr>
          <w:rFonts w:ascii="仿宋_GB2312" w:eastAsia="仿宋_GB2312" w:hAnsi="仿宋"/>
          <w:sz w:val="32"/>
          <w:szCs w:val="32"/>
        </w:rPr>
      </w:pPr>
      <w:bookmarkStart w:id="37" w:name="_Toc15378460"/>
      <w:bookmarkStart w:id="38" w:name="_Toc15377444"/>
      <w:bookmarkStart w:id="39" w:name="_Toc15377213"/>
      <w:r>
        <w:rPr>
          <w:rFonts w:ascii="仿宋_GB2312" w:eastAsia="仿宋_GB2312" w:hAnsi="仿宋" w:hint="eastAsia"/>
          <w:sz w:val="32"/>
          <w:szCs w:val="32"/>
        </w:rPr>
        <w:t>2018年一般公共预算支出决算数为12327.02万元，完成预算99.99</w:t>
      </w:r>
      <w:r>
        <w:rPr>
          <w:rFonts w:ascii="仿宋_GB2312" w:eastAsia="仿宋_GB2312" w:hAnsi="仿宋"/>
          <w:sz w:val="32"/>
          <w:szCs w:val="32"/>
        </w:rPr>
        <w:t>%</w:t>
      </w:r>
      <w:r>
        <w:rPr>
          <w:rFonts w:ascii="仿宋_GB2312" w:eastAsia="仿宋_GB2312" w:hAnsi="仿宋" w:hint="eastAsia"/>
          <w:sz w:val="32"/>
          <w:szCs w:val="32"/>
        </w:rPr>
        <w:t>。其中：</w:t>
      </w:r>
      <w:bookmarkEnd w:id="37"/>
      <w:bookmarkEnd w:id="38"/>
      <w:bookmarkEnd w:id="39"/>
    </w:p>
    <w:p w:rsidR="00921E9E" w:rsidRDefault="00B941C6">
      <w:pPr>
        <w:pStyle w:val="a7"/>
        <w:widowControl/>
        <w:spacing w:beforeLines="50" w:before="156" w:beforeAutospacing="0" w:line="580" w:lineRule="exact"/>
        <w:ind w:firstLineChars="200" w:firstLine="643"/>
        <w:jc w:val="both"/>
        <w:rPr>
          <w:rFonts w:ascii="仿宋_GB2312" w:eastAsia="仿宋_GB2312" w:hAnsi="仿宋"/>
          <w:kern w:val="2"/>
          <w:sz w:val="32"/>
          <w:szCs w:val="32"/>
        </w:rPr>
      </w:pPr>
      <w:r>
        <w:rPr>
          <w:rStyle w:val="a8"/>
          <w:rFonts w:ascii="仿宋" w:eastAsia="仿宋" w:hAnsi="仿宋"/>
          <w:bCs/>
          <w:color w:val="000000"/>
          <w:sz w:val="32"/>
          <w:szCs w:val="32"/>
        </w:rPr>
        <w:t>1.</w:t>
      </w:r>
      <w:r>
        <w:rPr>
          <w:rFonts w:ascii="仿宋_GB2312" w:eastAsia="仿宋_GB2312" w:hAnsi="仿宋" w:hint="eastAsia"/>
          <w:kern w:val="2"/>
          <w:sz w:val="32"/>
          <w:szCs w:val="32"/>
        </w:rPr>
        <w:t>一般公共服务（类）人大事务（款）行政运行（项）: 支出决算为4007.3万元，完成预算99.99%。一般行政管理事务（项）：支出决算为2,045.35万元，完成预算100%。机</w:t>
      </w:r>
      <w:r>
        <w:rPr>
          <w:rFonts w:ascii="仿宋_GB2312" w:eastAsia="仿宋_GB2312" w:hAnsi="仿宋" w:hint="eastAsia"/>
          <w:kern w:val="2"/>
          <w:sz w:val="32"/>
          <w:szCs w:val="32"/>
        </w:rPr>
        <w:lastRenderedPageBreak/>
        <w:t>关服务（项）：支出决算为463.32万元，完成预算100%。人大会议（项）：支出决算为1,554.81万元，完成预算100%。人大立法（项）：支出决算为94.00万元，完成预算100%。人大监督（项）：支出决算为133.00万元，完成预算100%。人大代表</w:t>
      </w:r>
      <w:proofErr w:type="gramStart"/>
      <w:r>
        <w:rPr>
          <w:rFonts w:ascii="仿宋_GB2312" w:eastAsia="仿宋_GB2312" w:hAnsi="仿宋" w:hint="eastAsia"/>
          <w:kern w:val="2"/>
          <w:sz w:val="32"/>
          <w:szCs w:val="32"/>
        </w:rPr>
        <w:t>履</w:t>
      </w:r>
      <w:proofErr w:type="gramEnd"/>
      <w:r>
        <w:rPr>
          <w:rFonts w:ascii="仿宋_GB2312" w:eastAsia="仿宋_GB2312" w:hAnsi="仿宋" w:hint="eastAsia"/>
          <w:kern w:val="2"/>
          <w:sz w:val="32"/>
          <w:szCs w:val="32"/>
        </w:rPr>
        <w:t>职能力提升（项）：支出决算为396.00万元，完成预算100%。代表工作（项）：支出决算为30.00万元，完成预算100%。人大信访工作（项）：支出决算为33.00万元，完成预算100%。事业运行（项）：支出决算为26.84万元，完成预算100%。其他人大事务支出（项）：支出决算为733.98万元，完成预算100%。</w:t>
      </w:r>
    </w:p>
    <w:p w:rsidR="00921E9E" w:rsidRDefault="00B941C6">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2.</w:t>
      </w:r>
      <w:r>
        <w:rPr>
          <w:rFonts w:ascii="仿宋_GB2312" w:eastAsia="仿宋_GB2312" w:hAnsi="仿宋"/>
          <w:sz w:val="32"/>
          <w:szCs w:val="32"/>
        </w:rPr>
        <w:t xml:space="preserve"> 教育支出（类）进修及培训（款）培训支出（项）: 支出决算为</w:t>
      </w:r>
      <w:r>
        <w:rPr>
          <w:rFonts w:ascii="仿宋_GB2312" w:eastAsia="仿宋_GB2312" w:hAnsi="仿宋" w:hint="eastAsia"/>
          <w:sz w:val="32"/>
          <w:szCs w:val="32"/>
        </w:rPr>
        <w:t>464.89</w:t>
      </w:r>
      <w:r>
        <w:rPr>
          <w:rFonts w:ascii="仿宋_GB2312" w:eastAsia="仿宋_GB2312" w:hAnsi="仿宋"/>
          <w:sz w:val="32"/>
          <w:szCs w:val="32"/>
        </w:rPr>
        <w:t>万元，完成预算100%。</w:t>
      </w:r>
    </w:p>
    <w:p w:rsidR="00921E9E" w:rsidRDefault="00B941C6">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3.</w:t>
      </w:r>
      <w:r>
        <w:rPr>
          <w:rStyle w:val="a8"/>
          <w:rFonts w:ascii="仿宋" w:eastAsia="仿宋" w:hAnsi="仿宋" w:hint="eastAsia"/>
          <w:b w:val="0"/>
          <w:bCs/>
          <w:color w:val="000000"/>
          <w:sz w:val="32"/>
          <w:szCs w:val="32"/>
        </w:rPr>
        <w:t>科学技术（类）</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支出决算为0万元，预决算无差异。</w:t>
      </w:r>
    </w:p>
    <w:p w:rsidR="00921E9E" w:rsidRDefault="00B941C6">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4.</w:t>
      </w:r>
      <w:r>
        <w:rPr>
          <w:rStyle w:val="a8"/>
          <w:rFonts w:ascii="仿宋" w:eastAsia="仿宋" w:hAnsi="仿宋" w:hint="eastAsia"/>
          <w:b w:val="0"/>
          <w:bCs/>
          <w:color w:val="000000"/>
          <w:sz w:val="32"/>
          <w:szCs w:val="32"/>
        </w:rPr>
        <w:t>文化体育与传媒（类）</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支出决算为0万元，预决算无差异。</w:t>
      </w:r>
    </w:p>
    <w:p w:rsidR="00921E9E" w:rsidRDefault="00B941C6">
      <w:pPr>
        <w:pStyle w:val="a7"/>
        <w:widowControl/>
        <w:spacing w:beforeLines="50" w:before="156" w:beforeAutospacing="0" w:line="580" w:lineRule="exact"/>
        <w:ind w:leftChars="79" w:left="166" w:firstLineChars="147" w:firstLine="472"/>
        <w:jc w:val="both"/>
        <w:rPr>
          <w:rFonts w:ascii="仿宋_GB2312" w:eastAsia="仿宋_GB2312" w:hAnsi="仿宋"/>
          <w:kern w:val="2"/>
          <w:sz w:val="32"/>
          <w:szCs w:val="32"/>
        </w:rPr>
      </w:pPr>
      <w:r>
        <w:rPr>
          <w:rStyle w:val="a8"/>
          <w:rFonts w:ascii="仿宋" w:eastAsia="仿宋" w:hAnsi="仿宋"/>
          <w:bCs/>
          <w:color w:val="000000"/>
          <w:sz w:val="32"/>
          <w:szCs w:val="32"/>
        </w:rPr>
        <w:t>5.</w:t>
      </w:r>
      <w:r>
        <w:rPr>
          <w:rFonts w:ascii="仿宋_GB2312" w:eastAsia="仿宋_GB2312" w:hAnsi="仿宋"/>
          <w:sz w:val="32"/>
          <w:szCs w:val="32"/>
        </w:rPr>
        <w:t xml:space="preserve"> </w:t>
      </w:r>
      <w:r>
        <w:rPr>
          <w:rFonts w:ascii="仿宋_GB2312" w:eastAsia="仿宋_GB2312" w:hAnsi="仿宋"/>
          <w:kern w:val="2"/>
          <w:sz w:val="32"/>
          <w:szCs w:val="32"/>
        </w:rPr>
        <w:t>社会保障和就业（类）行政事业单位离退休（款）</w:t>
      </w:r>
      <w:r>
        <w:rPr>
          <w:rFonts w:ascii="仿宋_GB2312" w:eastAsia="仿宋_GB2312" w:hAnsi="仿宋" w:hint="eastAsia"/>
          <w:kern w:val="2"/>
          <w:sz w:val="32"/>
          <w:szCs w:val="32"/>
        </w:rPr>
        <w:t>归口管理的行政单位离退休</w:t>
      </w:r>
      <w:r>
        <w:rPr>
          <w:rFonts w:ascii="仿宋_GB2312" w:eastAsia="仿宋_GB2312" w:hAnsi="仿宋"/>
          <w:kern w:val="2"/>
          <w:sz w:val="32"/>
          <w:szCs w:val="32"/>
        </w:rPr>
        <w:t>（项）</w:t>
      </w:r>
      <w:r>
        <w:rPr>
          <w:rFonts w:ascii="仿宋_GB2312" w:eastAsia="仿宋_GB2312" w:hAnsi="仿宋" w:hint="eastAsia"/>
          <w:kern w:val="2"/>
          <w:sz w:val="32"/>
          <w:szCs w:val="32"/>
        </w:rPr>
        <w:t>：</w:t>
      </w:r>
      <w:r>
        <w:rPr>
          <w:rFonts w:ascii="仿宋_GB2312" w:eastAsia="仿宋_GB2312" w:hAnsi="仿宋"/>
          <w:kern w:val="2"/>
          <w:sz w:val="32"/>
          <w:szCs w:val="32"/>
        </w:rPr>
        <w:t>支出决算为</w:t>
      </w:r>
      <w:r>
        <w:rPr>
          <w:rFonts w:ascii="仿宋_GB2312" w:eastAsia="仿宋_GB2312" w:hAnsi="仿宋" w:hint="eastAsia"/>
          <w:kern w:val="2"/>
          <w:sz w:val="32"/>
          <w:szCs w:val="32"/>
        </w:rPr>
        <w:t>156.37</w:t>
      </w:r>
      <w:r>
        <w:rPr>
          <w:rFonts w:ascii="仿宋_GB2312" w:eastAsia="仿宋_GB2312" w:hAnsi="仿宋"/>
          <w:kern w:val="2"/>
          <w:sz w:val="32"/>
          <w:szCs w:val="32"/>
        </w:rPr>
        <w:t>万元，完成预算100%。</w:t>
      </w:r>
      <w:r>
        <w:rPr>
          <w:rFonts w:ascii="仿宋_GB2312" w:eastAsia="仿宋_GB2312" w:hAnsi="仿宋" w:hint="eastAsia"/>
          <w:kern w:val="2"/>
          <w:sz w:val="32"/>
          <w:szCs w:val="32"/>
        </w:rPr>
        <w:t>事业单位离退休：支出决算4.53万元，</w:t>
      </w:r>
      <w:r>
        <w:rPr>
          <w:rFonts w:ascii="仿宋_GB2312" w:eastAsia="仿宋_GB2312" w:hAnsi="仿宋"/>
          <w:kern w:val="2"/>
          <w:sz w:val="32"/>
          <w:szCs w:val="32"/>
        </w:rPr>
        <w:t>完成预算100%</w:t>
      </w:r>
      <w:r>
        <w:rPr>
          <w:rFonts w:ascii="仿宋_GB2312" w:eastAsia="仿宋_GB2312" w:hAnsi="仿宋" w:hint="eastAsia"/>
          <w:kern w:val="2"/>
          <w:sz w:val="32"/>
          <w:szCs w:val="32"/>
        </w:rPr>
        <w:t>。</w:t>
      </w:r>
      <w:r>
        <w:rPr>
          <w:rFonts w:ascii="仿宋_GB2312" w:eastAsia="仿宋_GB2312" w:hAnsi="仿宋"/>
          <w:kern w:val="2"/>
          <w:sz w:val="32"/>
          <w:szCs w:val="32"/>
        </w:rPr>
        <w:t>未归口管理的行政单位离退休（项）:支出决算为</w:t>
      </w:r>
      <w:r>
        <w:rPr>
          <w:rFonts w:ascii="仿宋_GB2312" w:eastAsia="仿宋_GB2312" w:hAnsi="仿宋" w:hint="eastAsia"/>
          <w:kern w:val="2"/>
          <w:sz w:val="32"/>
          <w:szCs w:val="32"/>
        </w:rPr>
        <w:t>504.41</w:t>
      </w:r>
      <w:r>
        <w:rPr>
          <w:rFonts w:ascii="仿宋_GB2312" w:eastAsia="仿宋_GB2312" w:hAnsi="仿宋"/>
          <w:kern w:val="2"/>
          <w:sz w:val="32"/>
          <w:szCs w:val="32"/>
        </w:rPr>
        <w:t>万元，完成预算100%。机关事业单位基本养老保险缴费支出（项）:支出决算为</w:t>
      </w:r>
      <w:r>
        <w:rPr>
          <w:rFonts w:ascii="仿宋_GB2312" w:eastAsia="仿宋_GB2312" w:hAnsi="仿宋" w:hint="eastAsia"/>
          <w:kern w:val="2"/>
          <w:sz w:val="32"/>
          <w:szCs w:val="32"/>
        </w:rPr>
        <w:t>474.8</w:t>
      </w:r>
      <w:r>
        <w:rPr>
          <w:rFonts w:ascii="仿宋_GB2312" w:eastAsia="仿宋_GB2312" w:hAnsi="仿宋"/>
          <w:kern w:val="2"/>
          <w:sz w:val="32"/>
          <w:szCs w:val="32"/>
        </w:rPr>
        <w:t>万元，完成预算100%。机关事业单位职业年金缴费支出（项）:支出决算为</w:t>
      </w:r>
      <w:r>
        <w:rPr>
          <w:rFonts w:ascii="仿宋_GB2312" w:eastAsia="仿宋_GB2312" w:hAnsi="仿宋" w:hint="eastAsia"/>
          <w:kern w:val="2"/>
          <w:sz w:val="32"/>
          <w:szCs w:val="32"/>
        </w:rPr>
        <w:t>88.19</w:t>
      </w:r>
      <w:r>
        <w:rPr>
          <w:rFonts w:ascii="仿宋_GB2312" w:eastAsia="仿宋_GB2312" w:hAnsi="仿宋"/>
          <w:kern w:val="2"/>
          <w:sz w:val="32"/>
          <w:szCs w:val="32"/>
        </w:rPr>
        <w:t>万元，完成预算100%</w:t>
      </w:r>
      <w:r>
        <w:rPr>
          <w:rFonts w:ascii="仿宋_GB2312" w:eastAsia="仿宋_GB2312" w:hAnsi="仿宋" w:hint="eastAsia"/>
          <w:kern w:val="2"/>
          <w:sz w:val="32"/>
          <w:szCs w:val="32"/>
        </w:rPr>
        <w:t>。</w:t>
      </w:r>
      <w:r>
        <w:rPr>
          <w:rFonts w:ascii="仿宋_GB2312" w:eastAsia="仿宋_GB2312" w:hAnsi="仿宋"/>
          <w:kern w:val="2"/>
          <w:sz w:val="32"/>
          <w:szCs w:val="32"/>
        </w:rPr>
        <w:t>抚恤（款）死亡抚恤（项）：</w:t>
      </w:r>
      <w:r>
        <w:rPr>
          <w:rFonts w:ascii="仿宋_GB2312" w:eastAsia="仿宋_GB2312" w:hAnsi="仿宋"/>
          <w:kern w:val="2"/>
          <w:sz w:val="32"/>
          <w:szCs w:val="32"/>
        </w:rPr>
        <w:lastRenderedPageBreak/>
        <w:t>支出决算为</w:t>
      </w:r>
      <w:r>
        <w:rPr>
          <w:rFonts w:ascii="仿宋_GB2312" w:eastAsia="仿宋_GB2312" w:hAnsi="仿宋" w:hint="eastAsia"/>
          <w:kern w:val="2"/>
          <w:sz w:val="32"/>
          <w:szCs w:val="32"/>
        </w:rPr>
        <w:t>52.33</w:t>
      </w:r>
      <w:r>
        <w:rPr>
          <w:rFonts w:ascii="仿宋_GB2312" w:eastAsia="仿宋_GB2312" w:hAnsi="仿宋"/>
          <w:kern w:val="2"/>
          <w:sz w:val="32"/>
          <w:szCs w:val="32"/>
        </w:rPr>
        <w:t>万元，完成预算100%。其他社会保障和就业支出（款）其他社会保障和就业支出（项）：支出决算为</w:t>
      </w:r>
      <w:r>
        <w:rPr>
          <w:rFonts w:ascii="仿宋_GB2312" w:eastAsia="仿宋_GB2312" w:hAnsi="仿宋" w:hint="eastAsia"/>
          <w:kern w:val="2"/>
          <w:sz w:val="32"/>
          <w:szCs w:val="32"/>
        </w:rPr>
        <w:t>0.15</w:t>
      </w:r>
      <w:r>
        <w:rPr>
          <w:rFonts w:ascii="仿宋_GB2312" w:eastAsia="仿宋_GB2312" w:hAnsi="仿宋"/>
          <w:kern w:val="2"/>
          <w:sz w:val="32"/>
          <w:szCs w:val="32"/>
        </w:rPr>
        <w:t>万元，完成预算100%。</w:t>
      </w:r>
    </w:p>
    <w:p w:rsidR="00921E9E" w:rsidRDefault="00B941C6">
      <w:pPr>
        <w:pStyle w:val="a7"/>
        <w:widowControl/>
        <w:spacing w:beforeLines="50" w:before="156" w:beforeAutospacing="0" w:line="580" w:lineRule="exact"/>
        <w:ind w:leftChars="79" w:left="166" w:firstLineChars="147" w:firstLine="472"/>
        <w:jc w:val="both"/>
        <w:rPr>
          <w:rFonts w:ascii="仿宋_GB2312" w:eastAsia="仿宋_GB2312" w:hAnsi="仿宋"/>
          <w:kern w:val="2"/>
          <w:sz w:val="32"/>
          <w:szCs w:val="32"/>
        </w:rPr>
      </w:pPr>
      <w:r>
        <w:rPr>
          <w:rStyle w:val="a8"/>
          <w:rFonts w:ascii="仿宋" w:eastAsia="仿宋" w:hAnsi="仿宋"/>
          <w:bCs/>
          <w:color w:val="000000"/>
          <w:sz w:val="32"/>
          <w:szCs w:val="32"/>
        </w:rPr>
        <w:t>6.</w:t>
      </w:r>
      <w:r>
        <w:rPr>
          <w:rFonts w:ascii="仿宋_GB2312" w:eastAsia="仿宋_GB2312" w:hAnsi="仿宋"/>
          <w:sz w:val="32"/>
          <w:szCs w:val="32"/>
        </w:rPr>
        <w:t xml:space="preserve"> </w:t>
      </w:r>
      <w:r>
        <w:rPr>
          <w:rFonts w:ascii="仿宋_GB2312" w:eastAsia="仿宋_GB2312" w:hAnsi="仿宋"/>
          <w:kern w:val="2"/>
          <w:sz w:val="32"/>
          <w:szCs w:val="32"/>
        </w:rPr>
        <w:t>医疗卫生与计划生育（类）行政事业单位医疗（款）行政单位医疗（项）:支出决算为2</w:t>
      </w:r>
      <w:r>
        <w:rPr>
          <w:rFonts w:ascii="仿宋_GB2312" w:eastAsia="仿宋_GB2312" w:hAnsi="仿宋" w:hint="eastAsia"/>
          <w:kern w:val="2"/>
          <w:sz w:val="32"/>
          <w:szCs w:val="32"/>
        </w:rPr>
        <w:t>69.22</w:t>
      </w:r>
      <w:r>
        <w:rPr>
          <w:rFonts w:ascii="仿宋_GB2312" w:eastAsia="仿宋_GB2312" w:hAnsi="仿宋"/>
          <w:kern w:val="2"/>
          <w:sz w:val="32"/>
          <w:szCs w:val="32"/>
        </w:rPr>
        <w:t>万元，完成预算100%。事业单位医疗（款）：支出决算为</w:t>
      </w:r>
      <w:r>
        <w:rPr>
          <w:rFonts w:ascii="仿宋_GB2312" w:eastAsia="仿宋_GB2312" w:hAnsi="仿宋" w:hint="eastAsia"/>
          <w:kern w:val="2"/>
          <w:sz w:val="32"/>
          <w:szCs w:val="32"/>
        </w:rPr>
        <w:t>33.22</w:t>
      </w:r>
      <w:r>
        <w:rPr>
          <w:rFonts w:ascii="仿宋_GB2312" w:eastAsia="仿宋_GB2312" w:hAnsi="仿宋"/>
          <w:kern w:val="2"/>
          <w:sz w:val="32"/>
          <w:szCs w:val="32"/>
        </w:rPr>
        <w:t>万元，完成预算100%。公务员医疗补助支出（项）：支出决算为66.</w:t>
      </w:r>
      <w:r>
        <w:rPr>
          <w:rFonts w:ascii="仿宋_GB2312" w:eastAsia="仿宋_GB2312" w:hAnsi="仿宋" w:hint="eastAsia"/>
          <w:kern w:val="2"/>
          <w:sz w:val="32"/>
          <w:szCs w:val="32"/>
        </w:rPr>
        <w:t>75</w:t>
      </w:r>
      <w:r>
        <w:rPr>
          <w:rFonts w:ascii="仿宋_GB2312" w:eastAsia="仿宋_GB2312" w:hAnsi="仿宋"/>
          <w:kern w:val="2"/>
          <w:sz w:val="32"/>
          <w:szCs w:val="32"/>
        </w:rPr>
        <w:t>万元，完成预算100%。</w:t>
      </w:r>
    </w:p>
    <w:p w:rsidR="00921E9E" w:rsidRDefault="00B941C6">
      <w:pPr>
        <w:spacing w:line="600" w:lineRule="exact"/>
        <w:ind w:firstLineChars="200" w:firstLine="643"/>
        <w:rPr>
          <w:rFonts w:ascii="仿宋" w:eastAsia="仿宋" w:hAnsi="仿宋"/>
          <w:b/>
          <w:color w:val="000000"/>
          <w:sz w:val="32"/>
          <w:szCs w:val="32"/>
        </w:rPr>
      </w:pPr>
      <w:r>
        <w:rPr>
          <w:rStyle w:val="a8"/>
          <w:rFonts w:ascii="仿宋" w:eastAsia="仿宋" w:hint="eastAsia"/>
          <w:bCs/>
          <w:color w:val="000000"/>
          <w:kern w:val="0"/>
          <w:sz w:val="32"/>
        </w:rPr>
        <w:t>7、</w:t>
      </w:r>
      <w:r>
        <w:rPr>
          <w:rFonts w:ascii="仿宋_GB2312" w:eastAsia="仿宋_GB2312" w:hAnsi="仿宋"/>
          <w:sz w:val="32"/>
          <w:szCs w:val="32"/>
        </w:rPr>
        <w:t>住房保障支出（类）住房改革支出（款）住房公积金（项）:支出决算为</w:t>
      </w:r>
      <w:r>
        <w:rPr>
          <w:rFonts w:ascii="仿宋_GB2312" w:eastAsia="仿宋_GB2312" w:hAnsi="仿宋" w:hint="eastAsia"/>
          <w:sz w:val="32"/>
          <w:szCs w:val="32"/>
        </w:rPr>
        <w:t>403.62</w:t>
      </w:r>
      <w:r>
        <w:rPr>
          <w:rFonts w:ascii="仿宋_GB2312" w:eastAsia="仿宋_GB2312" w:hAnsi="仿宋"/>
          <w:sz w:val="32"/>
          <w:szCs w:val="32"/>
        </w:rPr>
        <w:t>万元，完成预算100%。购房补贴（项）支出决算为2</w:t>
      </w:r>
      <w:r>
        <w:rPr>
          <w:rFonts w:ascii="仿宋_GB2312" w:eastAsia="仿宋_GB2312" w:hAnsi="仿宋" w:hint="eastAsia"/>
          <w:sz w:val="32"/>
          <w:szCs w:val="32"/>
        </w:rPr>
        <w:t>84.45</w:t>
      </w:r>
      <w:r>
        <w:rPr>
          <w:rFonts w:ascii="仿宋_GB2312" w:eastAsia="仿宋_GB2312" w:hAnsi="仿宋"/>
          <w:sz w:val="32"/>
          <w:szCs w:val="32"/>
        </w:rPr>
        <w:t>万元，完成预算100%。</w:t>
      </w:r>
    </w:p>
    <w:p w:rsidR="00921E9E" w:rsidRDefault="00B941C6">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8、</w:t>
      </w:r>
      <w:r>
        <w:rPr>
          <w:rFonts w:ascii="仿宋_GB2312" w:eastAsia="仿宋_GB2312" w:hAnsi="仿宋" w:hint="eastAsia"/>
          <w:sz w:val="32"/>
          <w:szCs w:val="32"/>
        </w:rPr>
        <w:t>其他支出：6.49万元，</w:t>
      </w:r>
      <w:r>
        <w:rPr>
          <w:rFonts w:ascii="仿宋_GB2312" w:eastAsia="仿宋_GB2312" w:hAnsi="仿宋"/>
          <w:sz w:val="32"/>
          <w:szCs w:val="32"/>
        </w:rPr>
        <w:t>完成预算100%</w:t>
      </w:r>
      <w:r>
        <w:rPr>
          <w:rFonts w:ascii="仿宋_GB2312" w:eastAsia="仿宋_GB2312" w:hAnsi="仿宋" w:hint="eastAsia"/>
          <w:sz w:val="32"/>
          <w:szCs w:val="32"/>
        </w:rPr>
        <w:t>。</w:t>
      </w:r>
    </w:p>
    <w:p w:rsidR="00921E9E" w:rsidRDefault="00B941C6">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921E9E" w:rsidRDefault="00B941C6">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8年一般公共预算财政拨款基本支出6851.38万元，其中：</w:t>
      </w:r>
    </w:p>
    <w:p w:rsidR="00921E9E" w:rsidRDefault="00B941C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5911.13万元，主要包括：基本工资、津贴补贴、奖金、伙食补助费、绩效工资、机关事业单位基本养老保险缴费、职业年金缴费、其他社会保障缴费、其他工资福利支出、离休费、退休费、抚恤金、生活补助、医疗费、奖励金、住房公积金、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公用经费940.25万元，主要包括：办公费、印刷费、</w:t>
      </w:r>
      <w:r>
        <w:rPr>
          <w:rFonts w:ascii="仿宋" w:eastAsia="仿宋" w:hAnsi="仿宋" w:hint="eastAsia"/>
          <w:color w:val="000000"/>
          <w:sz w:val="32"/>
          <w:szCs w:val="32"/>
        </w:rPr>
        <w:lastRenderedPageBreak/>
        <w:t>咨询费、手续费、水费、电费、邮电费、取暖费、物业管理费、差旅费、因公出国（境）费用、维修（护）费、租赁费、会议费、培训费、公务接待费、劳务费、委托业务费、工会经费、福利费、公务用车运行维护费、其他交通费、其他商品和服务支出、办公设备购置、信息网络及软件购置更新、其他资本性支出等。</w:t>
      </w:r>
    </w:p>
    <w:p w:rsidR="00921E9E" w:rsidRDefault="00B941C6">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921E9E" w:rsidRDefault="00B941C6">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921E9E" w:rsidRDefault="00B941C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8年“三公”经费财政拨款支出决算为221.39万元，完成预算26.6</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，决算数小于预算数的主要原因是接待</w:t>
      </w:r>
      <w:proofErr w:type="gramStart"/>
      <w:r>
        <w:rPr>
          <w:rFonts w:ascii="仿宋" w:eastAsia="仿宋" w:hAnsi="仿宋" w:hint="eastAsia"/>
          <w:color w:val="000000"/>
          <w:sz w:val="32"/>
          <w:szCs w:val="32"/>
        </w:rPr>
        <w:t>批次较</w:t>
      </w:r>
      <w:proofErr w:type="gramEnd"/>
      <w:r>
        <w:rPr>
          <w:rFonts w:ascii="仿宋" w:eastAsia="仿宋" w:hAnsi="仿宋" w:hint="eastAsia"/>
          <w:color w:val="000000"/>
          <w:sz w:val="32"/>
          <w:szCs w:val="32"/>
        </w:rPr>
        <w:t>预计数减少，公务接待费支出减少。</w:t>
      </w:r>
    </w:p>
    <w:p w:rsidR="00921E9E" w:rsidRDefault="00B941C6">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921E9E" w:rsidRDefault="00B941C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8年“三公”经费财政拨款支出决算中，因公出国（境）费支出决算24.74万元，占11</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；公务用车购置及运行维护费支出决算183.48万元，占83</w:t>
      </w:r>
      <w:r>
        <w:rPr>
          <w:rFonts w:ascii="仿宋" w:eastAsia="仿宋" w:hAnsi="仿宋"/>
          <w:color w:val="000000"/>
          <w:sz w:val="32"/>
          <w:szCs w:val="32"/>
        </w:rPr>
        <w:t>%</w:t>
      </w:r>
      <w:r>
        <w:rPr>
          <w:rFonts w:ascii="仿宋" w:eastAsia="仿宋" w:hAnsi="仿宋" w:hint="eastAsia"/>
          <w:color w:val="000000"/>
          <w:sz w:val="32"/>
          <w:szCs w:val="32"/>
        </w:rPr>
        <w:t>；公务接待费支出决算13.17万元，占6</w:t>
      </w:r>
      <w:r>
        <w:rPr>
          <w:rFonts w:ascii="仿宋" w:eastAsia="仿宋" w:hAnsi="仿宋"/>
          <w:color w:val="000000"/>
          <w:sz w:val="32"/>
          <w:szCs w:val="32"/>
        </w:rPr>
        <w:t>%</w:t>
      </w:r>
      <w:r>
        <w:rPr>
          <w:rFonts w:ascii="仿宋" w:eastAsia="仿宋" w:hAnsi="仿宋" w:hint="eastAsia"/>
          <w:color w:val="000000"/>
          <w:sz w:val="32"/>
          <w:szCs w:val="32"/>
        </w:rPr>
        <w:t>。具体情况如下：</w:t>
      </w:r>
    </w:p>
    <w:p w:rsidR="00921E9E" w:rsidRDefault="00B941C6">
      <w:pPr>
        <w:spacing w:line="600" w:lineRule="exact"/>
        <w:ind w:firstLineChars="445" w:firstLine="1608"/>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图7：“三公”经费支出结构图</w:t>
      </w:r>
    </w:p>
    <w:p w:rsidR="00921E9E" w:rsidRDefault="00B941C6">
      <w:pPr>
        <w:spacing w:line="600" w:lineRule="exact"/>
        <w:ind w:firstLine="640"/>
        <w:rPr>
          <w:rFonts w:ascii="仿宋" w:eastAsia="仿宋" w:hAnsi="仿宋"/>
          <w:color w:val="000000"/>
          <w:sz w:val="32"/>
          <w:szCs w:val="32"/>
        </w:rPr>
      </w:pPr>
      <w:r>
        <w:rPr>
          <w:noProof/>
        </w:rPr>
        <w:drawing>
          <wp:anchor distT="0" distB="0" distL="114300" distR="114300" simplePos="0" relativeHeight="251667456" behindDoc="0" locked="0" layoutInCell="1" allowOverlap="1" wp14:anchorId="360C9021" wp14:editId="1B02239F">
            <wp:simplePos x="0" y="0"/>
            <wp:positionH relativeFrom="margin">
              <wp:posOffset>408940</wp:posOffset>
            </wp:positionH>
            <wp:positionV relativeFrom="margin">
              <wp:posOffset>6728460</wp:posOffset>
            </wp:positionV>
            <wp:extent cx="4467225" cy="2438400"/>
            <wp:effectExtent l="0" t="0" r="9525" b="1905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21E9E" w:rsidRDefault="00921E9E">
      <w:pPr>
        <w:spacing w:line="600" w:lineRule="exact"/>
        <w:ind w:firstLine="640"/>
        <w:rPr>
          <w:rFonts w:ascii="仿宋" w:eastAsia="仿宋" w:hAnsi="仿宋"/>
          <w:color w:val="000000"/>
          <w:sz w:val="32"/>
          <w:szCs w:val="32"/>
        </w:rPr>
      </w:pPr>
    </w:p>
    <w:p w:rsidR="00921E9E" w:rsidRDefault="00921E9E">
      <w:pPr>
        <w:spacing w:line="600" w:lineRule="exact"/>
        <w:ind w:firstLine="640"/>
        <w:rPr>
          <w:rFonts w:ascii="仿宋" w:eastAsia="仿宋" w:hAnsi="仿宋"/>
          <w:color w:val="000000"/>
          <w:sz w:val="32"/>
          <w:szCs w:val="32"/>
        </w:rPr>
      </w:pPr>
    </w:p>
    <w:p w:rsidR="00921E9E" w:rsidRDefault="00921E9E">
      <w:pPr>
        <w:spacing w:line="600" w:lineRule="exact"/>
        <w:ind w:firstLine="640"/>
        <w:rPr>
          <w:rFonts w:ascii="仿宋" w:eastAsia="仿宋" w:hAnsi="仿宋"/>
          <w:color w:val="000000"/>
          <w:sz w:val="32"/>
          <w:szCs w:val="32"/>
        </w:rPr>
      </w:pPr>
    </w:p>
    <w:p w:rsidR="00921E9E" w:rsidRDefault="00921E9E">
      <w:pPr>
        <w:spacing w:line="600" w:lineRule="exact"/>
        <w:ind w:firstLine="640"/>
        <w:rPr>
          <w:rFonts w:ascii="仿宋" w:eastAsia="仿宋" w:hAnsi="仿宋"/>
          <w:color w:val="000000"/>
          <w:sz w:val="32"/>
          <w:szCs w:val="32"/>
        </w:rPr>
      </w:pPr>
    </w:p>
    <w:p w:rsidR="00B941C6" w:rsidRDefault="00B941C6">
      <w:pPr>
        <w:spacing w:line="600" w:lineRule="exact"/>
        <w:ind w:firstLine="640"/>
        <w:rPr>
          <w:rFonts w:ascii="仿宋_GB2312" w:eastAsia="仿宋_GB2312"/>
          <w:b/>
          <w:color w:val="000000"/>
          <w:sz w:val="32"/>
          <w:szCs w:val="32"/>
        </w:rPr>
      </w:pPr>
    </w:p>
    <w:p w:rsidR="00921E9E" w:rsidRDefault="00B941C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1.</w:t>
      </w:r>
      <w:r>
        <w:rPr>
          <w:rFonts w:ascii="仿宋_GB2312" w:eastAsia="仿宋_GB2312" w:hint="eastAsia"/>
          <w:b/>
          <w:color w:val="000000"/>
          <w:sz w:val="32"/>
          <w:szCs w:val="32"/>
        </w:rPr>
        <w:t xml:space="preserve"> </w:t>
      </w:r>
      <w:r>
        <w:rPr>
          <w:rFonts w:ascii="仿宋_GB2312" w:eastAsia="仿宋_GB2312" w:hint="eastAsia"/>
          <w:color w:val="000000"/>
          <w:sz w:val="32"/>
          <w:szCs w:val="32"/>
        </w:rPr>
        <w:t>因公出国（境）经费支出24.74万元，</w:t>
      </w:r>
      <w:r>
        <w:rPr>
          <w:rStyle w:val="a8"/>
          <w:rFonts w:ascii="仿宋" w:eastAsia="仿宋" w:hAnsi="仿宋" w:hint="eastAsia"/>
          <w:b w:val="0"/>
          <w:bCs/>
          <w:color w:val="000000"/>
          <w:sz w:val="32"/>
          <w:szCs w:val="32"/>
        </w:rPr>
        <w:t>完成预算88.35</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全年安排因公出国（境）团组4次，出国（境）11人。因公出国（境）支出决算比</w:t>
      </w:r>
      <w:r>
        <w:rPr>
          <w:rFonts w:ascii="仿宋_GB2312" w:eastAsia="仿宋_GB2312"/>
          <w:color w:val="000000"/>
          <w:sz w:val="32"/>
          <w:szCs w:val="32"/>
        </w:rPr>
        <w:t>201</w:t>
      </w:r>
      <w:r>
        <w:rPr>
          <w:rFonts w:ascii="仿宋_GB2312" w:eastAsia="仿宋_GB2312" w:hint="eastAsia"/>
          <w:color w:val="000000"/>
          <w:sz w:val="32"/>
          <w:szCs w:val="32"/>
        </w:rPr>
        <w:t>7年减少5.59万元，下降19.96</w:t>
      </w:r>
      <w:r>
        <w:rPr>
          <w:rFonts w:ascii="仿宋_GB2312" w:eastAsia="仿宋_GB2312"/>
          <w:color w:val="000000"/>
          <w:sz w:val="32"/>
          <w:szCs w:val="32"/>
        </w:rPr>
        <w:t>%</w:t>
      </w:r>
      <w:r>
        <w:rPr>
          <w:rFonts w:ascii="仿宋_GB2312" w:eastAsia="仿宋_GB2312" w:hint="eastAsia"/>
          <w:color w:val="000000"/>
          <w:sz w:val="32"/>
          <w:szCs w:val="32"/>
        </w:rPr>
        <w:t>。主要原因是出国团组减少1次。</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开支内容包括：一是吴泓、蒋强（7月）、钟波（8月）参加省商务厅</w:t>
      </w:r>
      <w:proofErr w:type="gramStart"/>
      <w:r>
        <w:rPr>
          <w:rFonts w:ascii="仿宋_GB2312" w:eastAsia="仿宋_GB2312" w:hint="eastAsia"/>
          <w:color w:val="000000"/>
          <w:sz w:val="32"/>
          <w:szCs w:val="32"/>
        </w:rPr>
        <w:t>出访团</w:t>
      </w:r>
      <w:proofErr w:type="gramEnd"/>
      <w:r>
        <w:rPr>
          <w:rFonts w:ascii="仿宋_GB2312" w:eastAsia="仿宋_GB2312" w:hint="eastAsia"/>
          <w:color w:val="000000"/>
          <w:sz w:val="32"/>
          <w:szCs w:val="32"/>
        </w:rPr>
        <w:t>赴香港参加“国际营商环境专题班”，出访成果：考察区域经济一体化与自贸区发展前景、香港特区方便营商措施、成立香港公司的规定和程序、海关监管与贸易便利。二是10月19日至28日省人大常委会副主任黄新初赴冰岛、丹麦、摩洛哥访问。出访成果：第六届北极圈论坛大会“中国之夜”取得圆满成功；与丹麦中国友好协会签订友好合作备忘录，为下步与丹麦民间友好往来奠定基础；丹麦国会议员愿意进一步推动四川省与丹麦之间旅游、文化、经贸等领域友好往来；成功举办中摩历史文化名城对话会——友好四川·</w:t>
      </w:r>
      <w:proofErr w:type="gramStart"/>
      <w:r>
        <w:rPr>
          <w:rFonts w:ascii="仿宋_GB2312" w:eastAsia="仿宋_GB2312" w:hint="eastAsia"/>
          <w:color w:val="000000"/>
          <w:sz w:val="32"/>
          <w:szCs w:val="32"/>
        </w:rPr>
        <w:t>川茶飘香</w:t>
      </w:r>
      <w:proofErr w:type="gramEnd"/>
      <w:r>
        <w:rPr>
          <w:rFonts w:ascii="仿宋_GB2312" w:eastAsia="仿宋_GB2312" w:hint="eastAsia"/>
          <w:color w:val="000000"/>
          <w:sz w:val="32"/>
          <w:szCs w:val="32"/>
        </w:rPr>
        <w:t>摩洛哥活动，与摩洛哥中国友好交流协会签订2019年度合作备忘录。三是10月22日至28日黄勇、陈静、康文晋、何堤四人赴台湾交流考察。出访成果：加强川台文化交流，秉持“两岸一家亲”理念，增进相互了解认同，推动川</w:t>
      </w:r>
      <w:proofErr w:type="gramStart"/>
      <w:r>
        <w:rPr>
          <w:rFonts w:ascii="仿宋_GB2312" w:eastAsia="仿宋_GB2312" w:hint="eastAsia"/>
          <w:color w:val="000000"/>
          <w:sz w:val="32"/>
          <w:szCs w:val="32"/>
        </w:rPr>
        <w:t>台文旅合作</w:t>
      </w:r>
      <w:proofErr w:type="gramEnd"/>
      <w:r>
        <w:rPr>
          <w:rFonts w:ascii="仿宋_GB2312" w:eastAsia="仿宋_GB2312" w:hint="eastAsia"/>
          <w:color w:val="000000"/>
          <w:sz w:val="32"/>
          <w:szCs w:val="32"/>
        </w:rPr>
        <w:t>；了解台湾青年创业情况，推介我省在台湾吸引人才创新创业发展的法规政策。四是12月11日至20日朱新华、钟剑麟随省人大常委会副主任陈文华</w:t>
      </w:r>
      <w:proofErr w:type="gramStart"/>
      <w:r>
        <w:rPr>
          <w:rFonts w:ascii="仿宋_GB2312" w:eastAsia="仿宋_GB2312" w:hint="eastAsia"/>
          <w:color w:val="000000"/>
          <w:sz w:val="32"/>
          <w:szCs w:val="32"/>
        </w:rPr>
        <w:t>出访团</w:t>
      </w:r>
      <w:proofErr w:type="gramEnd"/>
      <w:r>
        <w:rPr>
          <w:rFonts w:ascii="仿宋_GB2312" w:eastAsia="仿宋_GB2312" w:hint="eastAsia"/>
          <w:color w:val="000000"/>
          <w:sz w:val="32"/>
          <w:szCs w:val="32"/>
        </w:rPr>
        <w:t>赴老挝、巴基斯坦、泰国访问。出访成果：强化了四</w:t>
      </w:r>
      <w:r>
        <w:rPr>
          <w:rFonts w:ascii="仿宋_GB2312" w:eastAsia="仿宋_GB2312" w:hint="eastAsia"/>
          <w:color w:val="000000"/>
          <w:sz w:val="32"/>
          <w:szCs w:val="32"/>
        </w:rPr>
        <w:lastRenderedPageBreak/>
        <w:t>川与老挝、巴基斯坦、泰国的交流合作，增进了双方了解，特别是从友好省际关系、经贸投资、交通物流、教育、旅游、文化等方面，为我省未来加强与老挝、巴基斯坦、泰国的交流合作巩固了基础，代表团访问期间在曼谷还成功举办了“四川省南向开放合作交流会”。</w:t>
      </w:r>
    </w:p>
    <w:p w:rsidR="003B7183" w:rsidRPr="003B7183" w:rsidRDefault="00B941C6" w:rsidP="003B7183">
      <w:pPr>
        <w:spacing w:line="600" w:lineRule="exact"/>
        <w:ind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公务用车购置及运行维护费支出183.48万元,</w:t>
      </w:r>
      <w:r>
        <w:rPr>
          <w:rStyle w:val="a8"/>
          <w:rFonts w:ascii="仿宋" w:eastAsia="仿宋" w:hAnsi="仿宋" w:hint="eastAsia"/>
          <w:b w:val="0"/>
          <w:bCs/>
          <w:color w:val="000000"/>
          <w:sz w:val="32"/>
          <w:szCs w:val="32"/>
        </w:rPr>
        <w:t>完成预算94.77</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7年减少10.97万元，下降5.6</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Ansi="仿宋" w:hint="eastAsia"/>
          <w:sz w:val="32"/>
          <w:szCs w:val="32"/>
        </w:rPr>
        <w:t>车辆保险费和运维费支出减少</w:t>
      </w:r>
      <w:r>
        <w:rPr>
          <w:rFonts w:ascii="仿宋_GB2312" w:eastAsia="仿宋_GB2312" w:hint="eastAsia"/>
          <w:color w:val="000000"/>
          <w:sz w:val="32"/>
          <w:szCs w:val="32"/>
        </w:rPr>
        <w:t>。</w:t>
      </w:r>
    </w:p>
    <w:p w:rsidR="00921E9E" w:rsidRDefault="00B941C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其中：公务用车购置支出0万元。全年未购置公务用车。</w:t>
      </w:r>
    </w:p>
    <w:p w:rsidR="00921E9E" w:rsidRDefault="00B941C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公务用车运行维护费支出183.48万元。主要用于监督检查、立法调研、集中视察、会议用车等所需的公务用车燃料费、维修费、过路过桥费、保险费等支出。</w:t>
      </w:r>
    </w:p>
    <w:p w:rsidR="00C60709" w:rsidRDefault="00C60709">
      <w:pPr>
        <w:spacing w:line="600" w:lineRule="exact"/>
        <w:ind w:firstLine="640"/>
        <w:rPr>
          <w:rFonts w:ascii="仿宋_GB2312" w:eastAsia="仿宋_GB2312" w:hint="eastAsia"/>
          <w:color w:val="000000"/>
          <w:sz w:val="32"/>
          <w:szCs w:val="32"/>
        </w:rPr>
      </w:pPr>
      <w:bookmarkStart w:id="46" w:name="_GoBack"/>
      <w:r w:rsidRPr="00C60709">
        <w:rPr>
          <w:rFonts w:ascii="仿宋_GB2312" w:eastAsia="仿宋_GB2312" w:hint="eastAsia"/>
          <w:color w:val="000000"/>
          <w:sz w:val="32"/>
          <w:szCs w:val="32"/>
        </w:rPr>
        <w:t>2018年</w:t>
      </w:r>
      <w:bookmarkEnd w:id="46"/>
      <w:r w:rsidR="00E44183">
        <w:rPr>
          <w:rFonts w:ascii="仿宋_GB2312" w:eastAsia="仿宋_GB2312" w:hint="eastAsia"/>
          <w:color w:val="000000"/>
          <w:sz w:val="32"/>
          <w:szCs w:val="32"/>
        </w:rPr>
        <w:t>单位</w:t>
      </w:r>
      <w:r w:rsidRPr="00C60709">
        <w:rPr>
          <w:rFonts w:ascii="仿宋_GB2312" w:eastAsia="仿宋_GB2312" w:hint="eastAsia"/>
          <w:color w:val="000000"/>
          <w:sz w:val="32"/>
          <w:szCs w:val="32"/>
        </w:rPr>
        <w:t>有公务用车36辆，其中：轿车25辆，商务车2辆，越野车5辆，大型客车4辆。</w:t>
      </w:r>
    </w:p>
    <w:p w:rsidR="00921E9E" w:rsidRDefault="00B941C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color w:val="000000"/>
          <w:sz w:val="32"/>
          <w:szCs w:val="32"/>
        </w:rPr>
        <w:t>公务接待费支出13.17万元，完成预算16.46%。公务接待费支出决算比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7年减少6.07万元，下降31.55</w:t>
      </w:r>
      <w:r>
        <w:rPr>
          <w:rFonts w:ascii="仿宋_GB2312" w:eastAsia="仿宋_GB2312"/>
          <w:color w:val="000000"/>
          <w:sz w:val="32"/>
          <w:szCs w:val="32"/>
        </w:rPr>
        <w:t>%</w:t>
      </w:r>
      <w:r>
        <w:rPr>
          <w:rFonts w:ascii="仿宋_GB2312" w:eastAsia="仿宋_GB2312" w:hint="eastAsia"/>
          <w:color w:val="000000"/>
          <w:sz w:val="32"/>
          <w:szCs w:val="32"/>
        </w:rPr>
        <w:t>。主要原因是接待人次减少。</w:t>
      </w:r>
    </w:p>
    <w:p w:rsidR="00921E9E" w:rsidRDefault="00B941C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接待费主要用于接待期间开支的交通费、用餐费等。国内公务接待93批次，418人次（不包括陪同人员），共计支出13.17万元，具体内容包括：接待全国人大来川调研、接待兄弟省市来川调研和接待下级单位汇报工作。其中：外事接待1批次，5人，共计支出0.029万元，主要用于接待购</w:t>
      </w:r>
      <w:r>
        <w:rPr>
          <w:rFonts w:ascii="仿宋_GB2312" w:eastAsia="仿宋_GB2312" w:hint="eastAsia"/>
          <w:color w:val="000000"/>
          <w:sz w:val="32"/>
          <w:szCs w:val="32"/>
        </w:rPr>
        <w:lastRenderedPageBreak/>
        <w:t>买外事礼品5个。</w:t>
      </w:r>
    </w:p>
    <w:p w:rsidR="00921E9E" w:rsidRDefault="00B941C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外事接待支出0.</w:t>
      </w:r>
      <w:r>
        <w:rPr>
          <w:rFonts w:ascii="仿宋" w:eastAsia="仿宋" w:hAnsi="仿宋" w:hint="eastAsia"/>
          <w:color w:val="000000"/>
          <w:sz w:val="32"/>
          <w:szCs w:val="32"/>
        </w:rPr>
        <w:t>029</w:t>
      </w:r>
      <w:r>
        <w:rPr>
          <w:rFonts w:ascii="仿宋_GB2312" w:eastAsia="仿宋_GB2312" w:hint="eastAsia"/>
          <w:color w:val="000000"/>
          <w:sz w:val="32"/>
          <w:szCs w:val="32"/>
        </w:rPr>
        <w:t>万元，主要用于接待外国来宾，购买礼品产生的相关支出。</w:t>
      </w:r>
    </w:p>
    <w:p w:rsidR="00921E9E" w:rsidRDefault="00B941C6">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其他国内公务接待支出13.14万元，主要用于接待产生餐费和交通费用。</w:t>
      </w:r>
    </w:p>
    <w:p w:rsidR="00921E9E" w:rsidRDefault="00B941C6">
      <w:pPr>
        <w:spacing w:line="600" w:lineRule="exact"/>
        <w:ind w:firstLine="640"/>
        <w:outlineLvl w:val="1"/>
        <w:rPr>
          <w:rStyle w:val="2Char"/>
          <w:rFonts w:ascii="黑体" w:eastAsia="黑体" w:hAnsi="黑体"/>
        </w:rPr>
      </w:pPr>
      <w:bookmarkStart w:id="47" w:name="_Toc15396610"/>
      <w:bookmarkStart w:id="48"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921E9E" w:rsidRDefault="00B941C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8年政府性基金预算拨款支出0万元。</w:t>
      </w:r>
    </w:p>
    <w:p w:rsidR="00921E9E" w:rsidRDefault="00B941C6">
      <w:pPr>
        <w:numPr>
          <w:ilvl w:val="0"/>
          <w:numId w:val="2"/>
        </w:numPr>
        <w:spacing w:line="600" w:lineRule="exact"/>
        <w:ind w:firstLine="640"/>
        <w:outlineLvl w:val="1"/>
        <w:rPr>
          <w:rStyle w:val="2Char"/>
          <w:rFonts w:ascii="黑体" w:eastAsia="黑体" w:hAnsi="黑体"/>
          <w:b w:val="0"/>
        </w:rPr>
      </w:pPr>
      <w:bookmarkStart w:id="49" w:name="_Toc15396611"/>
      <w:bookmarkStart w:id="50" w:name="_Toc15377219"/>
      <w:r>
        <w:rPr>
          <w:rStyle w:val="2Char"/>
          <w:rFonts w:ascii="黑体" w:eastAsia="黑体" w:hAnsi="黑体" w:hint="eastAsia"/>
          <w:b w:val="0"/>
        </w:rPr>
        <w:t>国有资本经营预算支出决算情况说明</w:t>
      </w:r>
      <w:bookmarkEnd w:id="49"/>
      <w:bookmarkEnd w:id="50"/>
    </w:p>
    <w:p w:rsidR="00921E9E" w:rsidRDefault="00B941C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rsidR="00921E9E" w:rsidRDefault="00B941C6">
      <w:pPr>
        <w:pStyle w:val="aa"/>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921E9E" w:rsidRDefault="00B941C6">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921E9E" w:rsidRDefault="00B941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年初预算编制阶段，组织对专用项目开展了预算事前绩效评估，对3个项目编制了绩效目标，预算执行过程中，选取3个项目开展绩效监控，年终执行完毕后，对3个项目开展了绩效目标完成情况梳理填报。</w:t>
      </w:r>
    </w:p>
    <w:p w:rsidR="00921E9E" w:rsidRDefault="00B941C6">
      <w:pPr>
        <w:spacing w:beforeLines="50" w:before="156" w:afterLines="50" w:after="156" w:line="54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本部门按要求对2018年部门整体支出开展绩效自评，从评价情况</w:t>
      </w:r>
      <w:proofErr w:type="gramStart"/>
      <w:r>
        <w:rPr>
          <w:rFonts w:ascii="仿宋_GB2312" w:eastAsia="仿宋_GB2312" w:hAnsi="仿宋_GB2312" w:cs="仿宋_GB2312" w:hint="eastAsia"/>
          <w:sz w:val="32"/>
          <w:szCs w:val="32"/>
        </w:rPr>
        <w:t>来看省</w:t>
      </w:r>
      <w:proofErr w:type="gramEnd"/>
      <w:r>
        <w:rPr>
          <w:rFonts w:ascii="仿宋_GB2312" w:eastAsia="仿宋_GB2312" w:hAnsi="仿宋_GB2312" w:cs="仿宋_GB2312" w:hint="eastAsia"/>
          <w:sz w:val="32"/>
          <w:szCs w:val="32"/>
        </w:rPr>
        <w:t>人大办公厅采取了有效的资金绩效管控措施，预算编制紧扣部门职能和实际情况，绩效目标编制切实可行，各项资金使用严格履行审批程序，达到了预期资金使用效果，较好的服务和保障了省人大常委会圆满完成年度立法工作、监督工作、调研工作以及代表工作，实现了</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8财政预算支出的绩效目标。</w:t>
      </w:r>
    </w:p>
    <w:p w:rsidR="00921E9E" w:rsidRDefault="00B941C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还自行组织了3个项目绩效评价，从评价情况来看通过对项目进度、预算执行和项目效益情况进行动态监控和监督检查，四川省人大常委会办公厅项目预绩效目标完成情况良好，经济效益、社会效益、可持续性以及满意度指标的实现程度达到预期。</w:t>
      </w:r>
    </w:p>
    <w:p w:rsidR="00921E9E" w:rsidRDefault="00B941C6">
      <w:pPr>
        <w:pStyle w:val="aa"/>
        <w:numPr>
          <w:ilvl w:val="0"/>
          <w:numId w:val="5"/>
        </w:numPr>
        <w:tabs>
          <w:tab w:val="left" w:pos="312"/>
        </w:tabs>
        <w:spacing w:line="580" w:lineRule="exact"/>
        <w:ind w:firstLineChars="0"/>
        <w:rPr>
          <w:rFonts w:ascii="楷体_GB2312" w:eastAsia="楷体_GB2312" w:hAnsi="楷体_GB2312" w:cs="楷体_GB2312"/>
          <w:b/>
          <w:bCs/>
          <w:sz w:val="32"/>
          <w:szCs w:val="32"/>
        </w:rPr>
      </w:pPr>
      <w:r>
        <w:rPr>
          <w:rFonts w:ascii="仿宋" w:eastAsia="仿宋" w:hAnsi="仿宋" w:cs="楷体_GB2312" w:hint="eastAsia"/>
          <w:b/>
          <w:bCs/>
          <w:sz w:val="32"/>
          <w:szCs w:val="32"/>
        </w:rPr>
        <w:t>项目绩效目标完成情况。</w:t>
      </w:r>
    </w:p>
    <w:p w:rsidR="00921E9E" w:rsidRDefault="00B941C6">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本部门在2018年度部门决算中反映“信息化建设及运行维护费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“代表视察工作经费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和“监督检查专项经费” 3个项目绩效目标实际完成情况。</w:t>
      </w:r>
    </w:p>
    <w:p w:rsidR="00921E9E" w:rsidRDefault="00B941C6">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息化建设及运行维护费全年预算数200万元，执行数为200万元，完成预算的100%。通过项目实施，保障了办公厅机房网络及电脑终端、会议系统、机关综合信息系统、有线和无线办公网络等正常运行；保障了省人代会和全年7次常委会速录；保障了办公厅档案数字化加工；购买了日常办公软件和信息设备的维护更换，</w:t>
      </w:r>
      <w:proofErr w:type="gramStart"/>
      <w:r>
        <w:rPr>
          <w:rFonts w:ascii="仿宋_GB2312" w:eastAsia="仿宋_GB2312" w:hAnsi="仿宋_GB2312" w:cs="仿宋_GB2312" w:hint="eastAsia"/>
          <w:sz w:val="32"/>
          <w:szCs w:val="32"/>
        </w:rPr>
        <w:t>确保省</w:t>
      </w:r>
      <w:proofErr w:type="gramEnd"/>
      <w:r>
        <w:rPr>
          <w:rFonts w:ascii="仿宋_GB2312" w:eastAsia="仿宋_GB2312" w:hAnsi="仿宋_GB2312" w:cs="仿宋_GB2312" w:hint="eastAsia"/>
          <w:sz w:val="32"/>
          <w:szCs w:val="32"/>
        </w:rPr>
        <w:t>人大常委会办公厅正常办公。发现的主要问题：项目绩效目标需进一步细化。下一步改进措施：做好事前调查工作，确保项目绩效目标编制指向性和操作性更强。</w:t>
      </w:r>
    </w:p>
    <w:p w:rsidR="00921E9E" w:rsidRDefault="00B941C6">
      <w:pPr>
        <w:tabs>
          <w:tab w:val="left" w:pos="312"/>
        </w:tabs>
        <w:spacing w:line="580" w:lineRule="exact"/>
        <w:ind w:firstLineChars="196" w:firstLine="627"/>
        <w:rPr>
          <w:rFonts w:ascii="方正仿宋简体" w:eastAsia="方正仿宋简体"/>
          <w:b/>
          <w:sz w:val="32"/>
          <w:szCs w:val="32"/>
        </w:rPr>
      </w:pPr>
      <w:r>
        <w:rPr>
          <w:rFonts w:ascii="仿宋_GB2312" w:eastAsia="仿宋_GB2312" w:hAnsi="仿宋_GB2312" w:cs="仿宋_GB2312" w:hint="eastAsia"/>
          <w:sz w:val="32"/>
          <w:szCs w:val="32"/>
        </w:rPr>
        <w:t>2、代表视察工作经费全年预算315万元，执行数315万元，完成预算100%。保障了省人大代表2018年顺利开展各项履职活动，通过开展专题调研、集中观察等活动监督政府部门工作，提出议案及建议。发现的主要问题：绩效监控需进一步强化。下一步改进措施：加强对下拨代表视察工作经费使用情况的监督。</w:t>
      </w:r>
    </w:p>
    <w:p w:rsidR="00921E9E" w:rsidRDefault="00B941C6">
      <w:pPr>
        <w:tabs>
          <w:tab w:val="left" w:pos="312"/>
        </w:tabs>
        <w:spacing w:line="580" w:lineRule="exact"/>
        <w:ind w:firstLineChars="196" w:firstLine="627"/>
        <w:rPr>
          <w:rFonts w:ascii="方正仿宋简体" w:eastAsia="方正仿宋简体"/>
          <w:b/>
          <w:sz w:val="32"/>
          <w:szCs w:val="32"/>
        </w:rPr>
      </w:pPr>
      <w:r>
        <w:rPr>
          <w:rFonts w:ascii="仿宋_GB2312" w:eastAsia="仿宋_GB2312" w:hAnsi="仿宋_GB2312" w:cs="仿宋_GB2312" w:hint="eastAsia"/>
          <w:sz w:val="32"/>
          <w:szCs w:val="32"/>
        </w:rPr>
        <w:lastRenderedPageBreak/>
        <w:t>3、监督检查专项经费全年预算133万元，执行数133万元，完成预算100%。通过保障执行检查、专题询问、法律法规备案审查和工作评议、预决算审查等工作，履行人大监督职能，加强和改进了人大监督工作，推动全省各项工作在法治轨道上有序运行。发现的主要问题：预算绩效目标还需更加细化。下一步改进措施：加强预算编制信息收集，细化预算绩效目标。</w:t>
      </w: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21E9E">
        <w:trPr>
          <w:trHeight w:val="1034"/>
        </w:trPr>
        <w:tc>
          <w:tcPr>
            <w:tcW w:w="9960" w:type="dxa"/>
            <w:gridSpan w:val="6"/>
            <w:tcMar>
              <w:top w:w="15" w:type="dxa"/>
              <w:left w:w="15" w:type="dxa"/>
              <w:bottom w:w="0" w:type="dxa"/>
              <w:right w:w="15" w:type="dxa"/>
            </w:tcMar>
            <w:vAlign w:val="center"/>
          </w:tcPr>
          <w:p w:rsidR="00921E9E" w:rsidRDefault="00B941C6">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lang w:bidi="ar"/>
              </w:rPr>
              <w:t>项目支出绩效目标完成情况表</w:t>
            </w:r>
            <w:r>
              <w:rPr>
                <w:rFonts w:ascii="宋体" w:hAnsi="宋体" w:cs="宋体" w:hint="eastAsia"/>
                <w:b/>
                <w:bCs/>
                <w:color w:val="000000"/>
                <w:kern w:val="0"/>
                <w:sz w:val="36"/>
                <w:szCs w:val="36"/>
                <w:lang w:bidi="ar"/>
              </w:rPr>
              <w:br/>
            </w:r>
            <w:r>
              <w:rPr>
                <w:rFonts w:ascii="宋体" w:hAnsi="宋体" w:cs="宋体" w:hint="eastAsia"/>
                <w:color w:val="000000"/>
                <w:kern w:val="0"/>
                <w:sz w:val="36"/>
                <w:szCs w:val="36"/>
                <w:lang w:bidi="ar"/>
              </w:rPr>
              <w:t>(2018 年度)</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信息化建设及运行维护费</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四川省人大常委会办公厅</w:t>
            </w: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200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200</w:t>
            </w:r>
          </w:p>
        </w:tc>
      </w:tr>
      <w:tr w:rsidR="00921E9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200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200</w:t>
            </w:r>
          </w:p>
        </w:tc>
      </w:tr>
      <w:tr w:rsidR="00921E9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921E9E">
            <w:pPr>
              <w:jc w:val="center"/>
              <w:rPr>
                <w:rFonts w:ascii="宋体" w:hAnsi="宋体" w:cs="宋体"/>
                <w:color w:val="000000"/>
                <w:sz w:val="24"/>
              </w:rPr>
            </w:pP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921E9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proofErr w:type="gramStart"/>
            <w:r>
              <w:rPr>
                <w:rFonts w:ascii="宋体" w:hAnsi="宋体" w:cs="宋体" w:hint="eastAsia"/>
                <w:color w:val="000000"/>
                <w:sz w:val="24"/>
              </w:rPr>
              <w:t>确保省</w:t>
            </w:r>
            <w:proofErr w:type="gramEnd"/>
            <w:r>
              <w:rPr>
                <w:rFonts w:ascii="宋体" w:hAnsi="宋体" w:cs="宋体" w:hint="eastAsia"/>
                <w:color w:val="000000"/>
                <w:sz w:val="24"/>
              </w:rPr>
              <w:t>人大机关信息网络及设备安全、稳定、高效运行，确保数据信息安全保密，推进无纸化办公，实现业务工作的科学化管控。</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通过保障人代会和常委会速录、机关机房网络及电脑终端系统、会议系统、综合信息系统、档案数字化项目、财经会议系统、代表履职服务平台、财务信息化平台、预决算审查平台等项目，确保人大各项工作顺利进行。</w:t>
            </w:r>
          </w:p>
        </w:tc>
      </w:tr>
      <w:tr w:rsidR="00921E9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实际完成指标值(包含数字及文字描述)</w:t>
            </w:r>
          </w:p>
        </w:tc>
      </w:tr>
      <w:tr w:rsidR="00921E9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按照项目合同支付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200万元</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完成机关信息化系统维护</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维护项目个数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≥9个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11个</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2018年12月完成</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项目维护及时度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维护响应时间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24小时内响应</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在24小时内及时响应</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规范档案管理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规范档案整理，有效保存工作资料，方便档案查询。</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完成2017年度档案数字化工作。</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促进信息公开</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推进省人大常委会及办公厅工作相关信息公开。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保障了省人大官方网站及APP维护，及时公开省人大工作相关信息。</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工作协作能力提升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提高省人大机关各部门协作和信息共享水平，提高办公效率。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维护多个系统，完善了内部控制程序和外部服务程序，提高了办公服务效率。</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对环境的保护作用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 xml:space="preserve">     降低污染</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减少有纸化办公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常委会会议印制纸质文件量减少60%。</w:t>
            </w:r>
          </w:p>
        </w:tc>
      </w:tr>
      <w:tr w:rsidR="00921E9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rsidP="00B941C6">
            <w:pPr>
              <w:spacing w:line="360" w:lineRule="exact"/>
              <w:ind w:firstLineChars="297" w:firstLine="713"/>
              <w:rPr>
                <w:rFonts w:ascii="宋体" w:hAnsi="宋体" w:cs="宋体"/>
                <w:color w:val="000000"/>
                <w:kern w:val="0"/>
                <w:sz w:val="24"/>
                <w:lang w:bidi="ar"/>
              </w:rPr>
            </w:pPr>
            <w:r>
              <w:rPr>
                <w:rFonts w:ascii="宋体" w:hAnsi="宋体" w:cs="宋体" w:hint="eastAsia"/>
                <w:color w:val="000000"/>
                <w:kern w:val="0"/>
                <w:sz w:val="24"/>
                <w:lang w:bidi="ar"/>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ind w:firstLineChars="350" w:firstLine="840"/>
              <w:rPr>
                <w:rFonts w:ascii="宋体" w:hAnsi="宋体" w:cs="宋体"/>
                <w:color w:val="000000"/>
                <w:kern w:val="0"/>
                <w:sz w:val="24"/>
                <w:lang w:bidi="ar"/>
              </w:rPr>
            </w:pPr>
            <w:r>
              <w:rPr>
                <w:rFonts w:ascii="宋体" w:hAnsi="宋体" w:cs="宋体" w:hint="eastAsia"/>
                <w:color w:val="000000"/>
                <w:kern w:val="0"/>
                <w:sz w:val="24"/>
                <w:lang w:bidi="ar"/>
              </w:rPr>
              <w:t>＞90%</w:t>
            </w:r>
          </w:p>
        </w:tc>
      </w:tr>
    </w:tbl>
    <w:p w:rsidR="00921E9E" w:rsidRDefault="00921E9E">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21E9E">
        <w:trPr>
          <w:trHeight w:val="1034"/>
        </w:trPr>
        <w:tc>
          <w:tcPr>
            <w:tcW w:w="9960" w:type="dxa"/>
            <w:gridSpan w:val="6"/>
            <w:tcMar>
              <w:top w:w="15" w:type="dxa"/>
              <w:left w:w="15" w:type="dxa"/>
              <w:bottom w:w="0" w:type="dxa"/>
              <w:right w:w="15" w:type="dxa"/>
            </w:tcMar>
            <w:vAlign w:val="center"/>
          </w:tcPr>
          <w:p w:rsidR="00921E9E" w:rsidRDefault="00B941C6">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lang w:bidi="ar"/>
              </w:rPr>
              <w:t>项目支出绩效目标完成情况表</w:t>
            </w:r>
            <w:r>
              <w:rPr>
                <w:rFonts w:ascii="宋体" w:hAnsi="宋体" w:cs="宋体" w:hint="eastAsia"/>
                <w:b/>
                <w:bCs/>
                <w:color w:val="000000"/>
                <w:kern w:val="0"/>
                <w:sz w:val="36"/>
                <w:szCs w:val="36"/>
                <w:lang w:bidi="ar"/>
              </w:rPr>
              <w:br/>
            </w:r>
            <w:r>
              <w:rPr>
                <w:rFonts w:ascii="宋体" w:hAnsi="宋体" w:cs="宋体" w:hint="eastAsia"/>
                <w:color w:val="000000"/>
                <w:kern w:val="0"/>
                <w:sz w:val="36"/>
                <w:szCs w:val="36"/>
                <w:lang w:bidi="ar"/>
              </w:rPr>
              <w:t>(2018 年度)</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代表视察工作经费</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四川省人大常委会办公厅</w:t>
            </w: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w:t>
            </w:r>
            <w:r>
              <w:rPr>
                <w:rFonts w:ascii="宋体" w:hAnsi="宋体" w:cs="宋体" w:hint="eastAsia"/>
                <w:color w:val="000000"/>
                <w:kern w:val="0"/>
                <w:sz w:val="24"/>
                <w:lang w:bidi="ar"/>
              </w:rPr>
              <w:lastRenderedPageBreak/>
              <w:t>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315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315</w:t>
            </w:r>
          </w:p>
        </w:tc>
      </w:tr>
      <w:tr w:rsidR="00921E9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315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315</w:t>
            </w:r>
          </w:p>
        </w:tc>
      </w:tr>
      <w:tr w:rsidR="00921E9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921E9E">
            <w:pPr>
              <w:jc w:val="center"/>
              <w:rPr>
                <w:rFonts w:ascii="宋体" w:hAnsi="宋体" w:cs="宋体"/>
                <w:color w:val="000000"/>
                <w:sz w:val="24"/>
              </w:rPr>
            </w:pP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921E9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sz w:val="24"/>
              </w:rPr>
              <w:t>省人大常委会围绕全省工作重点组织省人大代表对化解过剩产能工作，进行专题视察调研。</w:t>
            </w:r>
            <w:r>
              <w:rPr>
                <w:rFonts w:ascii="宋体" w:hAnsi="宋体" w:cs="宋体" w:hint="eastAsia"/>
                <w:color w:val="000000"/>
                <w:sz w:val="24"/>
              </w:rPr>
              <w:t>委托21个市州人大常委会、省军区政治工作部组织省人大代表开展专题调研、集中视察。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开展了两轮农村扶贫开发条例执法检查，组织13个检查组，分赴30个计划摘帽贫困县，进行明察暗访；组织国省代表开展了天府绿道、成都东进战略、</w:t>
            </w:r>
            <w:proofErr w:type="gramStart"/>
            <w:r>
              <w:rPr>
                <w:rFonts w:ascii="宋体" w:hAnsi="宋体" w:cs="宋体" w:hint="eastAsia"/>
                <w:color w:val="000000"/>
                <w:sz w:val="24"/>
              </w:rPr>
              <w:t>毗</w:t>
            </w:r>
            <w:proofErr w:type="gramEnd"/>
            <w:r>
              <w:rPr>
                <w:rFonts w:ascii="宋体" w:hAnsi="宋体" w:cs="宋体" w:hint="eastAsia"/>
                <w:color w:val="000000"/>
                <w:sz w:val="24"/>
              </w:rPr>
              <w:t>河、西部信息中心视察工作；委托各市州开展专题调研；通过多方面的工作举措，对政府及相关部门提出了实质性建议。</w:t>
            </w:r>
          </w:p>
        </w:tc>
      </w:tr>
      <w:tr w:rsidR="00921E9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实际完成指标值(包含数字及文字描述)</w:t>
            </w:r>
          </w:p>
        </w:tc>
      </w:tr>
      <w:tr w:rsidR="00921E9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保障履职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保障894名代表依法履职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代表履职率100%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代表履职率100%</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成果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形成视察和调研报告数量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大于21篇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完成报告大于21篇，围绕打赢“三大攻坚战”，开展两轮农村扶贫开发条例执法检查，提出9个方面问题和7大方面对策建议，并向有关市州逐一反馈问题清单，督促完成脱贫目标任务。</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代表履职全年人均标准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4000元每人每年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4000元每人每年</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组织视察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＞600人次</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完成进度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2018年12月完成</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代表参与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textAlignment w:val="center"/>
              <w:rPr>
                <w:rFonts w:ascii="宋体" w:hAnsi="宋体" w:cs="宋体"/>
                <w:color w:val="000000"/>
                <w:kern w:val="0"/>
                <w:sz w:val="24"/>
                <w:lang w:bidi="ar"/>
              </w:rPr>
            </w:pPr>
            <w:r>
              <w:rPr>
                <w:rFonts w:ascii="宋体" w:hAnsi="宋体" w:cs="宋体" w:hint="eastAsia"/>
                <w:color w:val="000000"/>
                <w:kern w:val="0"/>
                <w:sz w:val="24"/>
                <w:lang w:bidi="ar"/>
              </w:rPr>
              <w:t>组织代表列席省人大常委会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全年7次常委会要求代表列席</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全年7次常委会，邀请代表列席会议</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权力运行监督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监督成果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促进提高预决算编制质量，促进财政及部门收支</w:t>
            </w:r>
            <w:proofErr w:type="gramStart"/>
            <w:r>
              <w:rPr>
                <w:rFonts w:ascii="宋体" w:hAnsi="宋体" w:cs="宋体" w:hint="eastAsia"/>
                <w:color w:val="000000"/>
                <w:kern w:val="0"/>
                <w:sz w:val="24"/>
                <w:lang w:bidi="ar"/>
              </w:rPr>
              <w:t>任务任务</w:t>
            </w:r>
            <w:proofErr w:type="gramEnd"/>
            <w:r>
              <w:rPr>
                <w:rFonts w:ascii="宋体" w:hAnsi="宋体" w:cs="宋体" w:hint="eastAsia"/>
                <w:color w:val="000000"/>
                <w:kern w:val="0"/>
                <w:sz w:val="24"/>
                <w:lang w:bidi="ar"/>
              </w:rPr>
              <w:t>完成，督促审计发现问题整改落实</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921E9E">
            <w:pPr>
              <w:spacing w:line="360" w:lineRule="exact"/>
              <w:rPr>
                <w:rFonts w:ascii="宋体" w:hAnsi="宋体" w:cs="宋体"/>
                <w:color w:val="000000"/>
                <w:kern w:val="0"/>
                <w:sz w:val="24"/>
                <w:lang w:bidi="ar"/>
              </w:rPr>
            </w:pPr>
          </w:p>
        </w:tc>
      </w:tr>
      <w:tr w:rsidR="00921E9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监督成果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ind w:firstLineChars="98" w:firstLine="235"/>
              <w:rPr>
                <w:rFonts w:ascii="宋体" w:hAnsi="宋体" w:cs="宋体"/>
                <w:color w:val="000000"/>
                <w:kern w:val="0"/>
                <w:sz w:val="24"/>
                <w:lang w:bidi="ar"/>
              </w:rPr>
            </w:pPr>
            <w:r>
              <w:rPr>
                <w:rFonts w:ascii="宋体" w:hAnsi="宋体" w:cs="宋体" w:hint="eastAsia"/>
                <w:color w:val="000000"/>
                <w:kern w:val="0"/>
                <w:sz w:val="24"/>
                <w:lang w:bidi="ar"/>
              </w:rPr>
              <w:t>加强对政府部门权力运行的监督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听取和审议环境状况和环境保护目标完成情况报告、节能减</w:t>
            </w:r>
            <w:proofErr w:type="gramStart"/>
            <w:r>
              <w:rPr>
                <w:rFonts w:ascii="宋体" w:hAnsi="宋体" w:cs="宋体" w:hint="eastAsia"/>
                <w:color w:val="000000"/>
                <w:kern w:val="0"/>
                <w:sz w:val="24"/>
                <w:lang w:bidi="ar"/>
              </w:rPr>
              <w:t>排工作</w:t>
            </w:r>
            <w:proofErr w:type="gramEnd"/>
            <w:r>
              <w:rPr>
                <w:rFonts w:ascii="宋体" w:hAnsi="宋体" w:cs="宋体" w:hint="eastAsia"/>
                <w:color w:val="000000"/>
                <w:kern w:val="0"/>
                <w:sz w:val="24"/>
                <w:lang w:bidi="ar"/>
              </w:rPr>
              <w:t>情况报告、自然保护区管理情况报告，促进政府及有关部门加强生态环境保护。通过努力，全省环境污染防治取得成效，生态系统保护得到加强，生态环境质量持续改善。</w:t>
            </w:r>
          </w:p>
        </w:tc>
      </w:tr>
      <w:tr w:rsidR="00921E9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服务保障代表履职满意度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rsidP="00B941C6">
            <w:pPr>
              <w:spacing w:line="360" w:lineRule="exact"/>
              <w:ind w:firstLineChars="297" w:firstLine="713"/>
              <w:rPr>
                <w:rFonts w:ascii="方正仿宋简体" w:eastAsia="方正仿宋简体"/>
                <w:b/>
                <w:sz w:val="28"/>
                <w:szCs w:val="28"/>
              </w:rPr>
            </w:pPr>
            <w:r>
              <w:rPr>
                <w:rFonts w:ascii="宋体" w:hAns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921E9E">
            <w:pPr>
              <w:spacing w:line="360" w:lineRule="exact"/>
              <w:rPr>
                <w:rFonts w:ascii="方正仿宋简体" w:eastAsia="方正仿宋简体"/>
                <w:b/>
                <w:sz w:val="28"/>
                <w:szCs w:val="28"/>
              </w:rPr>
            </w:pPr>
          </w:p>
        </w:tc>
      </w:tr>
    </w:tbl>
    <w:p w:rsidR="00921E9E" w:rsidRDefault="00921E9E">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firstRow="1" w:lastRow="0" w:firstColumn="1" w:lastColumn="0" w:noHBand="0" w:noVBand="1"/>
      </w:tblPr>
      <w:tblGrid>
        <w:gridCol w:w="390"/>
        <w:gridCol w:w="1367"/>
        <w:gridCol w:w="1025"/>
        <w:gridCol w:w="2392"/>
        <w:gridCol w:w="2394"/>
        <w:gridCol w:w="2392"/>
      </w:tblGrid>
      <w:tr w:rsidR="00921E9E">
        <w:trPr>
          <w:trHeight w:val="1034"/>
        </w:trPr>
        <w:tc>
          <w:tcPr>
            <w:tcW w:w="9960" w:type="dxa"/>
            <w:gridSpan w:val="6"/>
            <w:tcMar>
              <w:top w:w="15" w:type="dxa"/>
              <w:left w:w="15" w:type="dxa"/>
              <w:bottom w:w="0" w:type="dxa"/>
              <w:right w:w="15" w:type="dxa"/>
            </w:tcMar>
            <w:vAlign w:val="center"/>
          </w:tcPr>
          <w:p w:rsidR="00921E9E" w:rsidRDefault="00B941C6">
            <w:pPr>
              <w:pStyle w:val="aa"/>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lang w:bidi="ar"/>
              </w:rPr>
              <w:t>项目支出绩效目标完成情况表</w:t>
            </w:r>
            <w:r>
              <w:rPr>
                <w:rFonts w:ascii="宋体" w:hAnsi="宋体" w:cs="宋体" w:hint="eastAsia"/>
                <w:b/>
                <w:bCs/>
                <w:color w:val="000000"/>
                <w:kern w:val="0"/>
                <w:sz w:val="36"/>
                <w:szCs w:val="36"/>
                <w:lang w:bidi="ar"/>
              </w:rPr>
              <w:br/>
            </w:r>
            <w:r>
              <w:rPr>
                <w:rFonts w:ascii="宋体" w:hAnsi="宋体" w:cs="宋体" w:hint="eastAsia"/>
                <w:color w:val="000000"/>
                <w:kern w:val="0"/>
                <w:sz w:val="36"/>
                <w:szCs w:val="36"/>
                <w:lang w:bidi="ar"/>
              </w:rPr>
              <w:t>(2018 年度)</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监督检查专项经费</w:t>
            </w:r>
          </w:p>
        </w:tc>
      </w:tr>
      <w:tr w:rsidR="00921E9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四川省人大常委会办公厅</w:t>
            </w: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133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133</w:t>
            </w:r>
          </w:p>
        </w:tc>
      </w:tr>
      <w:tr w:rsidR="00921E9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133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133</w:t>
            </w:r>
          </w:p>
        </w:tc>
      </w:tr>
      <w:tr w:rsidR="00921E9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921E9E">
            <w:pPr>
              <w:jc w:val="center"/>
              <w:rPr>
                <w:rFonts w:ascii="宋体" w:hAnsi="宋体" w:cs="宋体"/>
                <w:color w:val="000000"/>
                <w:sz w:val="24"/>
              </w:rPr>
            </w:pPr>
          </w:p>
        </w:tc>
      </w:tr>
      <w:tr w:rsidR="00921E9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r>
              <w:rPr>
                <w:rFonts w:ascii="宋体" w:hAnsi="宋体" w:cs="宋体" w:hint="eastAsia"/>
                <w:color w:val="000000"/>
                <w:kern w:val="0"/>
                <w:sz w:val="24"/>
                <w:lang w:bidi="ar"/>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实际完成目标</w:t>
            </w:r>
          </w:p>
        </w:tc>
      </w:tr>
      <w:tr w:rsidR="00921E9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t>通过执法检查、专题询问、法律法规备案审查和工作评议、预决算审查等形式，履行人大监督职能，加强和改进监督工作，推动全省各项工作在法治轨道上有序运行。</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color w:val="000000"/>
                <w:sz w:val="24"/>
              </w:rPr>
              <w:t>围绕打赢“三大攻坚战”，开展两轮农村扶贫开发条例执法检查</w:t>
            </w:r>
            <w:r>
              <w:rPr>
                <w:rFonts w:ascii="宋体" w:hAnsi="宋体" w:cs="宋体" w:hint="eastAsia"/>
                <w:color w:val="000000"/>
                <w:sz w:val="24"/>
              </w:rPr>
              <w:t>，</w:t>
            </w:r>
            <w:r>
              <w:rPr>
                <w:rFonts w:ascii="宋体" w:hAnsi="宋体" w:cs="宋体"/>
                <w:color w:val="000000"/>
                <w:sz w:val="24"/>
              </w:rPr>
              <w:t>对中央环保督查反馈意见整改工作情况，组织4个检查组，分赴4个重点市州开展检查</w:t>
            </w:r>
            <w:r>
              <w:rPr>
                <w:rFonts w:ascii="宋体" w:hAnsi="宋体" w:cs="宋体" w:hint="eastAsia"/>
                <w:color w:val="000000"/>
                <w:sz w:val="24"/>
              </w:rPr>
              <w:t>，</w:t>
            </w:r>
            <w:r>
              <w:rPr>
                <w:rFonts w:ascii="宋体" w:hAnsi="宋体" w:cs="宋体"/>
                <w:color w:val="000000"/>
                <w:sz w:val="24"/>
              </w:rPr>
              <w:t>开展大气污染防治法执法检查</w:t>
            </w:r>
            <w:r>
              <w:rPr>
                <w:rFonts w:ascii="宋体" w:hAnsi="宋体" w:cs="宋体" w:hint="eastAsia"/>
                <w:color w:val="000000"/>
                <w:sz w:val="24"/>
              </w:rPr>
              <w:t>等工作，</w:t>
            </w:r>
            <w:r>
              <w:rPr>
                <w:rFonts w:ascii="宋体" w:hAnsi="宋体" w:cs="宋体"/>
                <w:color w:val="000000"/>
                <w:sz w:val="24"/>
              </w:rPr>
              <w:t>以监督推动省委部署落地生根</w:t>
            </w:r>
            <w:r>
              <w:rPr>
                <w:rFonts w:ascii="宋体" w:hAnsi="宋体" w:cs="宋体" w:hint="eastAsia"/>
                <w:color w:val="000000"/>
                <w:sz w:val="24"/>
              </w:rPr>
              <w:t>，</w:t>
            </w:r>
            <w:r>
              <w:rPr>
                <w:rFonts w:ascii="宋体" w:hAnsi="宋体" w:cs="宋体"/>
                <w:color w:val="000000"/>
                <w:sz w:val="24"/>
              </w:rPr>
              <w:t>以监督推动“一府一委两院”工作</w:t>
            </w:r>
            <w:r>
              <w:rPr>
                <w:rFonts w:ascii="宋体" w:hAnsi="宋体" w:cs="宋体" w:hint="eastAsia"/>
                <w:color w:val="000000"/>
                <w:sz w:val="24"/>
              </w:rPr>
              <w:t>，</w:t>
            </w:r>
            <w:r>
              <w:rPr>
                <w:rFonts w:ascii="宋体" w:hAnsi="宋体" w:cs="宋体"/>
                <w:color w:val="000000"/>
                <w:sz w:val="24"/>
              </w:rPr>
              <w:t>以监督推动重大民生工作。</w:t>
            </w:r>
          </w:p>
        </w:tc>
      </w:tr>
      <w:tr w:rsidR="00921E9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实际完成指标值(包含数字及文字描述)</w:t>
            </w:r>
          </w:p>
        </w:tc>
      </w:tr>
      <w:tr w:rsidR="00921E9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开展审计监督调研和审计整改监督检查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＞8次</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开展执法调研</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≥16次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＞16次</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组织视察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≥600人次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＞600人次</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督促审计发现问题整改落实</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80" w:lineRule="exact"/>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整改落实率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80" w:lineRule="exact"/>
              <w:ind w:firstLineChars="300" w:firstLine="720"/>
              <w:rPr>
                <w:rFonts w:ascii="宋体" w:hAnsi="宋体" w:cs="宋体"/>
                <w:color w:val="000000"/>
                <w:kern w:val="0"/>
                <w:sz w:val="24"/>
                <w:lang w:bidi="ar"/>
              </w:rPr>
            </w:pPr>
            <w:r>
              <w:rPr>
                <w:rFonts w:ascii="宋体" w:hAnsi="宋体" w:cs="宋体" w:hint="eastAsia"/>
                <w:color w:val="000000"/>
                <w:kern w:val="0"/>
                <w:sz w:val="24"/>
                <w:lang w:bidi="ar"/>
              </w:rPr>
              <w:t>高于85%。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高于85%</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完成进度</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项目完成时间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2018年12月完成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完成进度</w:t>
            </w:r>
          </w:p>
        </w:tc>
      </w:tr>
      <w:tr w:rsidR="00921E9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法律执行情况监督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法律检查数量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ind w:firstLineChars="200" w:firstLine="480"/>
              <w:rPr>
                <w:rFonts w:ascii="宋体" w:hAnsi="宋体" w:cs="宋体"/>
                <w:color w:val="000000"/>
                <w:kern w:val="0"/>
                <w:sz w:val="24"/>
                <w:lang w:bidi="ar"/>
              </w:rPr>
            </w:pPr>
            <w:r>
              <w:rPr>
                <w:rFonts w:ascii="宋体" w:hAnsi="宋体" w:cs="宋体" w:hint="eastAsia"/>
                <w:color w:val="000000"/>
                <w:kern w:val="0"/>
                <w:sz w:val="24"/>
                <w:lang w:bidi="ar"/>
              </w:rPr>
              <w:t>大于5部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2018年，对《大气污染防治法》、《四川省农村扶贫开发条例》、《固体废物污染环境防治法》等6部法律法规开展了执法检查。</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促进信息公开</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提高财政预决算编制质量，促进财政及部门收支任务完成。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完成预决算审查，提出预决算审查意见。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完成2018年决算审查和2019年度预算审查工作，预决算审查后分别提出了1000余条意见；督促财政及部门完成了收支任务。</w:t>
            </w:r>
          </w:p>
        </w:tc>
      </w:tr>
      <w:tr w:rsidR="00921E9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加强监督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督促政府及相关部门依法行政。</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spacing w:line="360" w:lineRule="exact"/>
              <w:rPr>
                <w:rFonts w:ascii="宋体" w:hAnsi="宋体" w:cs="宋体"/>
                <w:color w:val="000000"/>
                <w:kern w:val="0"/>
                <w:sz w:val="24"/>
                <w:lang w:bidi="ar"/>
              </w:rPr>
            </w:pPr>
            <w:r>
              <w:rPr>
                <w:rFonts w:ascii="宋体" w:hAnsi="宋体" w:cs="宋体" w:hint="eastAsia"/>
                <w:color w:val="000000"/>
                <w:kern w:val="0"/>
                <w:sz w:val="24"/>
                <w:lang w:bidi="ar"/>
              </w:rPr>
              <w:t>通过监督检查、听取汇报等多种方式履行人大监督职能，加强和改进监督工作。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开展了执法检查、专题询问、法律法规备案审查和工作评议、预决算审查，履行了人大监督职能，加强和改进监督工作。</w:t>
            </w:r>
          </w:p>
        </w:tc>
      </w:tr>
      <w:tr w:rsidR="00921E9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921E9E" w:rsidRDefault="00921E9E">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对工作的促进作用</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开展审计监督调研和审计整改监督检查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1E9E" w:rsidRDefault="00B941C6">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＞8次</w:t>
            </w:r>
          </w:p>
        </w:tc>
      </w:tr>
    </w:tbl>
    <w:p w:rsidR="00921E9E" w:rsidRDefault="00921E9E">
      <w:pPr>
        <w:spacing w:line="580" w:lineRule="exact"/>
        <w:rPr>
          <w:rFonts w:ascii="仿宋_GB2312" w:eastAsia="仿宋_GB2312" w:hAnsi="仿宋_GB2312" w:cs="仿宋_GB2312"/>
          <w:sz w:val="32"/>
          <w:szCs w:val="32"/>
        </w:rPr>
      </w:pPr>
    </w:p>
    <w:p w:rsidR="00921E9E" w:rsidRDefault="00B941C6">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921E9E" w:rsidRDefault="00B941C6">
      <w:pPr>
        <w:widowControl/>
        <w:spacing w:beforeLines="50" w:before="156" w:line="54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本部门按要求对2018年部门整体支出绩效评价情况开展自评，《四川省人大常委会办公厅2019年度部门整体支出绩效评价报告》见附件。</w:t>
      </w:r>
    </w:p>
    <w:p w:rsidR="00921E9E" w:rsidRDefault="00B941C6">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921E9E" w:rsidRDefault="00B941C6">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921E9E" w:rsidRDefault="00B941C6">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8年，四川省人大常委会机关运行经费支出5780.79万元，比</w:t>
      </w:r>
      <w:r>
        <w:rPr>
          <w:rFonts w:ascii="仿宋_GB2312" w:eastAsia="仿宋_GB2312"/>
          <w:color w:val="000000"/>
          <w:sz w:val="32"/>
          <w:szCs w:val="32"/>
        </w:rPr>
        <w:t>201</w:t>
      </w:r>
      <w:r>
        <w:rPr>
          <w:rFonts w:ascii="仿宋_GB2312" w:eastAsia="仿宋_GB2312" w:hint="eastAsia"/>
          <w:color w:val="000000"/>
          <w:sz w:val="32"/>
          <w:szCs w:val="32"/>
        </w:rPr>
        <w:t>7年减少73.53万元，下降1.26</w:t>
      </w:r>
      <w:r>
        <w:rPr>
          <w:rFonts w:ascii="仿宋_GB2312" w:eastAsia="仿宋_GB2312"/>
          <w:color w:val="000000"/>
          <w:sz w:val="32"/>
          <w:szCs w:val="32"/>
        </w:rPr>
        <w:t>%</w:t>
      </w:r>
      <w:r>
        <w:rPr>
          <w:rFonts w:ascii="仿宋_GB2312" w:eastAsia="仿宋_GB2312" w:hint="eastAsia"/>
          <w:color w:val="000000"/>
          <w:sz w:val="32"/>
          <w:szCs w:val="32"/>
        </w:rPr>
        <w:t>，主要原因是差旅费支出减少。</w:t>
      </w:r>
    </w:p>
    <w:p w:rsidR="00921E9E" w:rsidRDefault="00B941C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921E9E" w:rsidRDefault="00B941C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四川省人大常委会办公厅政府采购支出总额2094.07万元，其中：政府采购货物支出156.84万元、政府采购工程支出426.99万元、政府采购服务支出1510.24万元。主要用于采购办公用设施设备、办公用房维修改造、预决算审查平台建设、安保监控系统、物业管理服务、人代会会议等支出。其中：授予中小企业合同金额1430.38万元，</w:t>
      </w:r>
      <w:r>
        <w:rPr>
          <w:rFonts w:ascii="仿宋_GB2312" w:eastAsia="仿宋_GB2312" w:hint="eastAsia"/>
          <w:color w:val="000000"/>
          <w:sz w:val="32"/>
          <w:szCs w:val="32"/>
        </w:rPr>
        <w:lastRenderedPageBreak/>
        <w:t>占政府采购支出总额的68.3</w:t>
      </w:r>
      <w:r>
        <w:rPr>
          <w:rFonts w:ascii="仿宋_GB2312" w:eastAsia="仿宋_GB2312"/>
          <w:color w:val="000000"/>
          <w:sz w:val="32"/>
          <w:szCs w:val="32"/>
        </w:rPr>
        <w:t>%</w:t>
      </w:r>
      <w:r>
        <w:rPr>
          <w:rFonts w:ascii="仿宋_GB2312" w:eastAsia="仿宋_GB2312" w:hint="eastAsia"/>
          <w:color w:val="000000"/>
          <w:sz w:val="32"/>
          <w:szCs w:val="32"/>
        </w:rPr>
        <w:t>。</w:t>
      </w:r>
    </w:p>
    <w:p w:rsidR="00921E9E" w:rsidRDefault="00B941C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921E9E" w:rsidRDefault="00B941C6">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日，省人大常委会办公厅共有车辆37辆，其中：部级领导干部用车13辆、一般公务用车19辆、一般执法执勤用车0辆、特种专业技术用车0辆、其他用车5辆，</w:t>
      </w:r>
      <w:r>
        <w:rPr>
          <w:rFonts w:ascii="仿宋_GB2312" w:eastAsia="仿宋_GB2312" w:hint="eastAsia"/>
          <w:color w:val="000000" w:themeColor="text1"/>
          <w:sz w:val="32"/>
          <w:szCs w:val="32"/>
        </w:rPr>
        <w:t>其他用车主要是用于退休副省级领导看病就医、履行公务保障用车。单价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万元以上通用设备4台（套），单价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万元以上专用设备0台（套）。</w:t>
      </w:r>
    </w:p>
    <w:p w:rsidR="00921E9E" w:rsidRDefault="00921E9E">
      <w:pPr>
        <w:spacing w:line="600" w:lineRule="atLeast"/>
        <w:ind w:firstLineChars="200" w:firstLine="643"/>
        <w:rPr>
          <w:rFonts w:ascii="仿宋_GB2312" w:eastAsia="仿宋_GB2312"/>
          <w:b/>
          <w:color w:val="000000"/>
          <w:sz w:val="32"/>
          <w:szCs w:val="32"/>
        </w:rPr>
      </w:pPr>
    </w:p>
    <w:p w:rsidR="00921E9E" w:rsidRDefault="00B941C6">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921E9E" w:rsidRDefault="00B941C6">
      <w:pPr>
        <w:numPr>
          <w:ilvl w:val="0"/>
          <w:numId w:val="6"/>
        </w:numPr>
        <w:spacing w:line="600" w:lineRule="exact"/>
        <w:ind w:firstLineChars="150" w:firstLine="663"/>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6"/>
      <w:bookmarkEnd w:id="57"/>
    </w:p>
    <w:p w:rsidR="00921E9E" w:rsidRDefault="00921E9E">
      <w:pPr>
        <w:spacing w:line="600" w:lineRule="exact"/>
        <w:jc w:val="left"/>
        <w:rPr>
          <w:rFonts w:ascii="宋体"/>
          <w:b/>
          <w:color w:val="000000"/>
          <w:sz w:val="44"/>
          <w:szCs w:val="44"/>
        </w:rPr>
      </w:pP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事业收入：指事业单位开展专业业务活动及辅助活动取得的收入。如信息中心财政拨款收入。</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其他收入：指单位取得的除上述收入以外的各项收入。主要是指房改房退款。</w:t>
      </w:r>
      <w:r>
        <w:rPr>
          <w:rFonts w:ascii="仿宋_GB2312" w:eastAsia="仿宋_GB2312"/>
          <w:sz w:val="32"/>
          <w:szCs w:val="32"/>
        </w:rPr>
        <w:t xml:space="preserve"> </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921E9E" w:rsidRDefault="00B941C6">
      <w:pPr>
        <w:pStyle w:val="a7"/>
        <w:spacing w:before="93"/>
        <w:ind w:firstLineChars="200" w:firstLine="640"/>
        <w:rPr>
          <w:rFonts w:ascii="仿宋_GB2312" w:eastAsia="仿宋_GB2312" w:cs="仿宋"/>
          <w:color w:val="000000"/>
          <w:sz w:val="32"/>
          <w:szCs w:val="32"/>
        </w:rPr>
      </w:pPr>
      <w:r>
        <w:rPr>
          <w:rFonts w:ascii="仿宋_GB2312" w:eastAsia="仿宋_GB2312" w:cs="仿宋"/>
          <w:color w:val="000000"/>
          <w:sz w:val="32"/>
          <w:szCs w:val="32"/>
        </w:rPr>
        <w:t>9. 一般公共服务（类）人大事务（款）行政运行（项）：反映行政单位（包括实行公务员管理的事业单位）的基本支出。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lastRenderedPageBreak/>
        <w:t>一般行政管理事务：反映行政单位未单独设置项级科目的其他项目支出。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机关服务：反映为行政单位提供后勤服务的各类后勤服务中心、医务室等附属事业单位的支出。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人大会议：反映各级人大召开人民代表大会等专门会议的支出。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人大立法：反映各级人大立法方面的支出。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人大监督：反映各级人大开展监督工作的支出。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人大代表</w:t>
      </w:r>
      <w:proofErr w:type="gramStart"/>
      <w:r>
        <w:rPr>
          <w:rFonts w:ascii="仿宋_GB2312" w:eastAsia="仿宋_GB2312" w:hAnsi="Calibri" w:cs="仿宋"/>
          <w:color w:val="000000"/>
          <w:kern w:val="0"/>
          <w:sz w:val="32"/>
          <w:szCs w:val="32"/>
        </w:rPr>
        <w:t>履</w:t>
      </w:r>
      <w:proofErr w:type="gramEnd"/>
      <w:r>
        <w:rPr>
          <w:rFonts w:ascii="仿宋_GB2312" w:eastAsia="仿宋_GB2312" w:hAnsi="Calibri" w:cs="仿宋"/>
          <w:color w:val="000000"/>
          <w:kern w:val="0"/>
          <w:sz w:val="32"/>
          <w:szCs w:val="32"/>
        </w:rPr>
        <w:t>职能力提升：反映各级人大为提高代表</w:t>
      </w:r>
      <w:proofErr w:type="gramStart"/>
      <w:r>
        <w:rPr>
          <w:rFonts w:ascii="仿宋_GB2312" w:eastAsia="仿宋_GB2312" w:hAnsi="Calibri" w:cs="仿宋"/>
          <w:color w:val="000000"/>
          <w:kern w:val="0"/>
          <w:sz w:val="32"/>
          <w:szCs w:val="32"/>
        </w:rPr>
        <w:t>履</w:t>
      </w:r>
      <w:proofErr w:type="gramEnd"/>
      <w:r>
        <w:rPr>
          <w:rFonts w:ascii="仿宋_GB2312" w:eastAsia="仿宋_GB2312" w:hAnsi="Calibri" w:cs="仿宋"/>
          <w:color w:val="000000"/>
          <w:kern w:val="0"/>
          <w:sz w:val="32"/>
          <w:szCs w:val="32"/>
        </w:rPr>
        <w:t>职能力所发生的各项支出。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代表工作：反映人大代表开展各类视察等方面的支出。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人大信访工作：反映各级人大处理来信来访工作的支出。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事业运行：反映事业单位的基本支出，不包括行政单位后勤服务中心、医务室等附属事业单位。</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其他人大事务支出：反映除上述项目以外的其他人大事务支出。</w:t>
      </w:r>
    </w:p>
    <w:p w:rsidR="00921E9E" w:rsidRDefault="00B941C6">
      <w:pPr>
        <w:pStyle w:val="a7"/>
        <w:spacing w:before="93"/>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10</w:t>
      </w:r>
      <w:r>
        <w:rPr>
          <w:rFonts w:ascii="仿宋_GB2312" w:eastAsia="仿宋_GB2312" w:cs="仿宋"/>
          <w:color w:val="000000"/>
          <w:sz w:val="32"/>
          <w:szCs w:val="32"/>
        </w:rPr>
        <w:t>. 教育支出（类）进修及培训（款）培训支出（项）：反映各部门安排的用于培训的支出。</w:t>
      </w:r>
    </w:p>
    <w:p w:rsidR="00921E9E" w:rsidRDefault="00B941C6">
      <w:pPr>
        <w:pStyle w:val="a7"/>
        <w:spacing w:before="93"/>
        <w:ind w:firstLineChars="200" w:firstLine="640"/>
        <w:rPr>
          <w:rFonts w:ascii="仿宋_GB2312" w:eastAsia="仿宋_GB2312" w:cs="仿宋"/>
          <w:color w:val="000000"/>
          <w:sz w:val="32"/>
          <w:szCs w:val="32"/>
        </w:rPr>
      </w:pPr>
      <w:r>
        <w:rPr>
          <w:rFonts w:ascii="仿宋_GB2312" w:eastAsia="仿宋_GB2312" w:cs="仿宋"/>
          <w:color w:val="000000"/>
          <w:sz w:val="32"/>
          <w:szCs w:val="32"/>
        </w:rPr>
        <w:lastRenderedPageBreak/>
        <w:t>1</w:t>
      </w:r>
      <w:r>
        <w:rPr>
          <w:rFonts w:ascii="仿宋_GB2312" w:eastAsia="仿宋_GB2312" w:cs="仿宋" w:hint="eastAsia"/>
          <w:color w:val="000000"/>
          <w:sz w:val="32"/>
          <w:szCs w:val="32"/>
        </w:rPr>
        <w:t>1</w:t>
      </w:r>
      <w:r>
        <w:rPr>
          <w:rFonts w:ascii="仿宋_GB2312" w:eastAsia="仿宋_GB2312" w:cs="仿宋"/>
          <w:color w:val="000000"/>
          <w:sz w:val="32"/>
          <w:szCs w:val="32"/>
        </w:rPr>
        <w:t>. 社会保障和就业（类）行政单位离退休（款）事业单位离退休（项）：反映实行归口管理的事业单位开支的离退休经费。</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未归口管理的行政单位离退休：反映未实行归口管理的行政单位开支的离退休支出。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机关事业单位基本养老保险缴费支出：反映机关事业单位实施养老保险制度由单位缴纳的基本养老保险费支出。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机关事业单位职业年金缴费支出：反映机关事业单位实施养老保险制度由单位实际缴纳的职业年金支出。</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抚恤（款）死亡抚恤（项）：反映按规定用于烈士和牺牲、病故人员家属的一次性和定期抚恤金以及丧葬补助费。</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其他社会保障和就业支出（款）其他社会保障和就业支出（项）：反映其他用于社会保障和就业方面的支出。</w:t>
      </w:r>
    </w:p>
    <w:p w:rsidR="00921E9E" w:rsidRDefault="00B941C6">
      <w:pPr>
        <w:pStyle w:val="a7"/>
        <w:spacing w:before="93"/>
        <w:ind w:firstLineChars="200" w:firstLine="640"/>
        <w:rPr>
          <w:rFonts w:ascii="仿宋_GB2312" w:eastAsia="仿宋_GB2312" w:cs="仿宋"/>
          <w:color w:val="000000"/>
          <w:sz w:val="32"/>
          <w:szCs w:val="32"/>
        </w:rPr>
      </w:pPr>
      <w:r>
        <w:rPr>
          <w:rFonts w:ascii="仿宋_GB2312" w:eastAsia="仿宋_GB2312" w:cs="仿宋"/>
          <w:color w:val="000000"/>
          <w:sz w:val="32"/>
          <w:szCs w:val="32"/>
        </w:rPr>
        <w:t>1</w:t>
      </w:r>
      <w:r>
        <w:rPr>
          <w:rFonts w:ascii="仿宋_GB2312" w:eastAsia="仿宋_GB2312" w:cs="仿宋" w:hint="eastAsia"/>
          <w:color w:val="000000"/>
          <w:sz w:val="32"/>
          <w:szCs w:val="32"/>
        </w:rPr>
        <w:t>2</w:t>
      </w:r>
      <w:r>
        <w:rPr>
          <w:rFonts w:ascii="仿宋_GB2312" w:eastAsia="仿宋_GB2312" w:cs="仿宋"/>
          <w:color w:val="000000"/>
          <w:sz w:val="32"/>
          <w:szCs w:val="32"/>
        </w:rPr>
        <w:t>. 医疗卫生与计划生育（类）行政事业单位医疗（款）行政单位医疗（项）：反映财政部门集中安排的行政单位基本医疗保险缴费经费。</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事业单位医疗：反映财政部门集中安排的事业单位基本医疗保险缴费经费。</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lastRenderedPageBreak/>
        <w:t xml:space="preserve">　　公务员医疗补助：反映财政部门集中安排的公务员医疗补助经费。</w:t>
      </w:r>
    </w:p>
    <w:p w:rsidR="00921E9E" w:rsidRDefault="00B941C6">
      <w:pPr>
        <w:pStyle w:val="a7"/>
        <w:spacing w:before="93"/>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13</w:t>
      </w:r>
      <w:r>
        <w:rPr>
          <w:rFonts w:ascii="仿宋_GB2312" w:eastAsia="仿宋_GB2312" w:cs="仿宋"/>
          <w:color w:val="000000"/>
          <w:sz w:val="32"/>
          <w:szCs w:val="32"/>
        </w:rPr>
        <w:t>. 住房保障支出（类）住房改革支出（款）住房公积金（项）：反映行政事业单位按人力资源和社会保障部、财政部规定的基本工资和津贴补贴以及规定比例为职工缴纳的住房公积金。</w:t>
      </w:r>
    </w:p>
    <w:p w:rsidR="00921E9E" w:rsidRDefault="00B941C6">
      <w:pPr>
        <w:widowControl/>
        <w:spacing w:before="100" w:beforeAutospacing="1" w:after="100" w:afterAutospacing="1"/>
        <w:ind w:firstLineChars="200" w:firstLine="640"/>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购房补贴：反映按房改政策规定，行政事业单位向符合条件职工（含离退休人员）、军队（含武警）向转役复员离退休人员发放的用于购买住房的补贴。</w:t>
      </w:r>
    </w:p>
    <w:p w:rsidR="00921E9E" w:rsidRDefault="00B941C6">
      <w:pPr>
        <w:widowControl/>
        <w:spacing w:before="100" w:beforeAutospacing="1" w:after="100" w:afterAutospacing="1"/>
        <w:jc w:val="left"/>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 xml:space="preserve">　　其他支出（类）其他政府性基金及对应专项债务收入安排的支出（款） 其他政府性基金及对应专项债务收入安排的支出（项）：反映其他政府性基金及对应专项债务收入安排的支出（包括用以前年度欠款收入安排的支出）。</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w:t>
      </w:r>
      <w:r>
        <w:rPr>
          <w:rFonts w:ascii="仿宋_GB2312" w:eastAsia="仿宋_GB2312" w:hint="eastAsia"/>
          <w:sz w:val="32"/>
          <w:szCs w:val="32"/>
        </w:rPr>
        <w:lastRenderedPageBreak/>
        <w:t>（境）费、公务用车购置及运行费和公务接待费。其中，因公出国（境）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921E9E" w:rsidRDefault="00B941C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1E9E" w:rsidRDefault="00B941C6">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9"/>
    </w:p>
    <w:p w:rsidR="00921E9E" w:rsidRDefault="00921E9E">
      <w:pPr>
        <w:spacing w:line="600" w:lineRule="exact"/>
        <w:jc w:val="center"/>
        <w:outlineLvl w:val="0"/>
        <w:rPr>
          <w:rStyle w:val="1Char"/>
        </w:rPr>
      </w:pPr>
    </w:p>
    <w:p w:rsidR="00921E9E" w:rsidRDefault="00B941C6">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921E9E" w:rsidRDefault="00B941C6">
      <w:pPr>
        <w:widowControl/>
        <w:spacing w:beforeLines="50" w:before="156" w:line="540" w:lineRule="exact"/>
        <w:ind w:firstLineChars="445" w:firstLine="1958"/>
        <w:contextualSpacing/>
        <w:rPr>
          <w:rFonts w:ascii="方正小标宋简体" w:eastAsia="方正小标宋简体" w:hAnsi="宋体"/>
          <w:sz w:val="44"/>
          <w:szCs w:val="44"/>
          <w:shd w:val="clear" w:color="auto" w:fill="FFFFFF"/>
        </w:rPr>
      </w:pPr>
      <w:r>
        <w:rPr>
          <w:rFonts w:ascii="方正小标宋简体" w:eastAsia="方正小标宋简体" w:hAnsi="宋体" w:hint="eastAsia"/>
          <w:sz w:val="44"/>
          <w:szCs w:val="44"/>
          <w:shd w:val="clear" w:color="auto" w:fill="FFFFFF"/>
        </w:rPr>
        <w:t>四川省人大常委会办公厅</w:t>
      </w:r>
    </w:p>
    <w:p w:rsidR="00921E9E" w:rsidRDefault="00B941C6">
      <w:pPr>
        <w:widowControl/>
        <w:spacing w:beforeLines="50" w:before="156" w:line="540" w:lineRule="exact"/>
        <w:contextualSpacing/>
        <w:jc w:val="center"/>
        <w:rPr>
          <w:rFonts w:ascii="方正小标宋简体" w:eastAsia="方正小标宋简体" w:hAnsi="宋体"/>
          <w:sz w:val="44"/>
          <w:szCs w:val="44"/>
          <w:shd w:val="clear" w:color="auto" w:fill="FFFFFF"/>
        </w:rPr>
      </w:pPr>
      <w:r>
        <w:rPr>
          <w:rFonts w:ascii="方正小标宋简体" w:eastAsia="方正小标宋简体" w:hAnsi="宋体" w:hint="eastAsia"/>
          <w:sz w:val="44"/>
          <w:szCs w:val="44"/>
          <w:shd w:val="clear" w:color="auto" w:fill="FFFFFF"/>
        </w:rPr>
        <w:t>2018年度部门整体支出绩效评价报告</w:t>
      </w:r>
    </w:p>
    <w:p w:rsidR="00921E9E" w:rsidRDefault="00921E9E">
      <w:pPr>
        <w:widowControl/>
        <w:spacing w:beforeLines="50" w:before="156" w:line="540" w:lineRule="exact"/>
        <w:contextualSpacing/>
        <w:jc w:val="center"/>
        <w:rPr>
          <w:rFonts w:ascii="宋体" w:hAnsi="宋体"/>
          <w:b/>
          <w:sz w:val="44"/>
          <w:szCs w:val="44"/>
          <w:shd w:val="clear" w:color="auto" w:fill="FFFFFF"/>
        </w:rPr>
      </w:pP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按照《财政厅关于开展201</w:t>
      </w:r>
      <w:r>
        <w:rPr>
          <w:rFonts w:ascii="仿宋_GB2312" w:eastAsia="仿宋_GB2312" w:hint="eastAsia"/>
          <w:color w:val="000000"/>
          <w:sz w:val="32"/>
          <w:szCs w:val="32"/>
        </w:rPr>
        <w:t>9</w:t>
      </w:r>
      <w:r>
        <w:rPr>
          <w:rFonts w:ascii="仿宋_GB2312" w:eastAsia="仿宋_GB2312"/>
          <w:color w:val="000000"/>
          <w:sz w:val="32"/>
          <w:szCs w:val="32"/>
        </w:rPr>
        <w:t>年</w:t>
      </w:r>
      <w:r>
        <w:rPr>
          <w:rFonts w:ascii="仿宋_GB2312" w:eastAsia="仿宋_GB2312" w:hint="eastAsia"/>
          <w:color w:val="000000"/>
          <w:sz w:val="32"/>
          <w:szCs w:val="32"/>
        </w:rPr>
        <w:t>部门整体支出</w:t>
      </w:r>
      <w:r>
        <w:rPr>
          <w:rFonts w:ascii="仿宋_GB2312" w:eastAsia="仿宋_GB2312"/>
          <w:color w:val="000000"/>
          <w:sz w:val="32"/>
          <w:szCs w:val="32"/>
        </w:rPr>
        <w:t>绩效评价工作的通知》（</w:t>
      </w:r>
      <w:proofErr w:type="gramStart"/>
      <w:r>
        <w:rPr>
          <w:rFonts w:ascii="仿宋_GB2312" w:eastAsia="仿宋_GB2312"/>
          <w:color w:val="000000"/>
          <w:sz w:val="32"/>
          <w:szCs w:val="32"/>
        </w:rPr>
        <w:t>川财</w:t>
      </w:r>
      <w:r>
        <w:rPr>
          <w:rFonts w:ascii="仿宋_GB2312" w:eastAsia="仿宋_GB2312" w:hint="eastAsia"/>
          <w:color w:val="000000"/>
          <w:sz w:val="32"/>
          <w:szCs w:val="32"/>
        </w:rPr>
        <w:t>绩</w:t>
      </w:r>
      <w:proofErr w:type="gramEnd"/>
      <w:r>
        <w:rPr>
          <w:rFonts w:ascii="仿宋_GB2312" w:eastAsia="仿宋_GB2312" w:hint="eastAsia"/>
          <w:color w:val="000000"/>
          <w:sz w:val="32"/>
          <w:szCs w:val="32"/>
        </w:rPr>
        <w:t>﹝</w:t>
      </w:r>
      <w:r>
        <w:rPr>
          <w:rFonts w:ascii="仿宋_GB2312" w:eastAsia="仿宋_GB2312"/>
          <w:color w:val="000000"/>
          <w:sz w:val="32"/>
          <w:szCs w:val="32"/>
        </w:rPr>
        <w:t>201</w:t>
      </w:r>
      <w:r>
        <w:rPr>
          <w:rFonts w:ascii="仿宋_GB2312" w:eastAsia="仿宋_GB2312" w:hint="eastAsia"/>
          <w:color w:val="000000"/>
          <w:sz w:val="32"/>
          <w:szCs w:val="32"/>
        </w:rPr>
        <w:t>9﹞4</w:t>
      </w:r>
      <w:r>
        <w:rPr>
          <w:rFonts w:ascii="仿宋_GB2312" w:eastAsia="仿宋_GB2312"/>
          <w:color w:val="000000"/>
          <w:sz w:val="32"/>
          <w:szCs w:val="32"/>
        </w:rPr>
        <w:t>号）</w:t>
      </w:r>
      <w:r>
        <w:rPr>
          <w:rFonts w:ascii="仿宋_GB2312" w:eastAsia="仿宋_GB2312" w:hint="eastAsia"/>
          <w:color w:val="000000"/>
          <w:sz w:val="32"/>
          <w:szCs w:val="32"/>
        </w:rPr>
        <w:t>的</w:t>
      </w:r>
      <w:r>
        <w:rPr>
          <w:rFonts w:ascii="仿宋_GB2312" w:eastAsia="仿宋_GB2312"/>
          <w:color w:val="000000"/>
          <w:sz w:val="32"/>
          <w:szCs w:val="32"/>
        </w:rPr>
        <w:t>要求，现</w:t>
      </w:r>
      <w:r>
        <w:rPr>
          <w:rFonts w:ascii="仿宋_GB2312" w:eastAsia="仿宋_GB2312" w:hint="eastAsia"/>
          <w:color w:val="000000"/>
          <w:sz w:val="32"/>
          <w:szCs w:val="32"/>
        </w:rPr>
        <w:t>对</w:t>
      </w:r>
      <w:r>
        <w:rPr>
          <w:rFonts w:ascii="仿宋_GB2312" w:eastAsia="仿宋_GB2312"/>
          <w:color w:val="000000"/>
          <w:sz w:val="32"/>
          <w:szCs w:val="32"/>
        </w:rPr>
        <w:t>省人大常委会办公厅201</w:t>
      </w:r>
      <w:r>
        <w:rPr>
          <w:rFonts w:ascii="仿宋_GB2312" w:eastAsia="仿宋_GB2312" w:hint="eastAsia"/>
          <w:color w:val="000000"/>
          <w:sz w:val="32"/>
          <w:szCs w:val="32"/>
        </w:rPr>
        <w:t>8</w:t>
      </w:r>
      <w:r>
        <w:rPr>
          <w:rFonts w:ascii="仿宋_GB2312" w:eastAsia="仿宋_GB2312"/>
          <w:color w:val="000000"/>
          <w:sz w:val="32"/>
          <w:szCs w:val="32"/>
        </w:rPr>
        <w:t>年部门整体</w:t>
      </w:r>
      <w:r>
        <w:rPr>
          <w:rFonts w:ascii="仿宋_GB2312" w:eastAsia="仿宋_GB2312" w:hint="eastAsia"/>
          <w:color w:val="000000"/>
          <w:sz w:val="32"/>
          <w:szCs w:val="32"/>
        </w:rPr>
        <w:t>预算</w:t>
      </w:r>
      <w:r>
        <w:rPr>
          <w:rFonts w:ascii="仿宋_GB2312" w:eastAsia="仿宋_GB2312"/>
          <w:color w:val="000000"/>
          <w:sz w:val="32"/>
          <w:szCs w:val="32"/>
        </w:rPr>
        <w:t>绩效</w:t>
      </w:r>
      <w:r>
        <w:rPr>
          <w:rFonts w:ascii="仿宋_GB2312" w:eastAsia="仿宋_GB2312" w:hint="eastAsia"/>
          <w:color w:val="000000"/>
          <w:sz w:val="32"/>
          <w:szCs w:val="32"/>
        </w:rPr>
        <w:t>自评情况</w:t>
      </w:r>
      <w:r>
        <w:rPr>
          <w:rFonts w:ascii="仿宋_GB2312" w:eastAsia="仿宋_GB2312"/>
          <w:color w:val="000000"/>
          <w:sz w:val="32"/>
          <w:szCs w:val="32"/>
        </w:rPr>
        <w:t>报告如下：</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一、部门概况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（一）机构组成</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省人大常委会办公厅下属二级预算单位四个，其中行政单位一个，参照公务员法管理的事业单位一个，其他事业单位两个。主要包括：四川省人大常委会办公厅机关、四川省省级机关老干部休养三所、四川省人大常委会办公厅机关服务中心</w:t>
      </w:r>
      <w:r>
        <w:rPr>
          <w:rFonts w:ascii="仿宋_GB2312" w:eastAsia="仿宋_GB2312" w:hint="eastAsia"/>
          <w:color w:val="000000"/>
          <w:sz w:val="32"/>
          <w:szCs w:val="32"/>
        </w:rPr>
        <w:t>和</w:t>
      </w:r>
      <w:r>
        <w:rPr>
          <w:rFonts w:ascii="仿宋_GB2312" w:eastAsia="仿宋_GB2312"/>
          <w:color w:val="000000"/>
          <w:sz w:val="32"/>
          <w:szCs w:val="32"/>
        </w:rPr>
        <w:t>四川省人大常委会办公厅信息中心。</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（二）机构职能</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四川省人大常委会办公厅是四川省人大常委会的办事工作机构，主要职</w:t>
      </w:r>
      <w:r>
        <w:rPr>
          <w:rFonts w:ascii="仿宋_GB2312" w:eastAsia="仿宋_GB2312" w:hint="eastAsia"/>
          <w:color w:val="000000"/>
          <w:sz w:val="32"/>
          <w:szCs w:val="32"/>
        </w:rPr>
        <w:t>能</w:t>
      </w:r>
      <w:r>
        <w:rPr>
          <w:rFonts w:ascii="仿宋_GB2312" w:eastAsia="仿宋_GB2312"/>
          <w:color w:val="000000"/>
          <w:sz w:val="32"/>
          <w:szCs w:val="32"/>
        </w:rPr>
        <w:t>是：</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承担省人民代表大会会议、常委会会议、常委会党组会议、常委会主任会议和秘书长会议、机关党组会议的会务工作及会议决定事项的督办工作。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负责常委会组成人员视察和常委会执法检查的有关工作。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负责省人大及其常委会的文电、档案、保密、文印工作；负常委会机关信息网络建设和办公自动化建设；负责编辑出版《四川省人大常委会公报》。</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受主任会议委托，拟订有关议案草案。</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承办省人大常委会同各市、州、县人大常委会联系的有关工作。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负责省人大常委会的新闻发布会和宣传工作，组织对省人民代表大会、常委会会议、常委会主任会议以及对民主法制建设、人大制度、人大工作的宣传报道。受常委会委托，负责联系宣传新闻部门和常委会机关刊物，分管《人民权力报》和《民主法制建设》杂志。</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负责省人大机关的机构编制、人事管理、干部培训工作及离退休人员的管理服务工作。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负责省人大机关、锦江大礼堂的安全保卫和管理工作。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协办全国人大常委会领导同志来川视察的接待工作，承办兄弟省(区、市)人大常委会领导同志来川考察的接待工作。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负责省人大机关的财务管理、国有资产管理工作。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受省人大常委会、常委会党组会议、常委会主任会议、机关党组会议、秘书长会议和常委会主任、副主任、秘书长的委托，综合协调常委会及专门委员会办事工作机构的工作。</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承办省人大常委会、常委会党组会议、常委会主任会议、机关党组会议、秘书长会议和常委会主任、副主任、秘书长、副秘书长交办的有关工作。</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（三）人员概况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人员编制情况：</w:t>
      </w:r>
      <w:r>
        <w:rPr>
          <w:rFonts w:ascii="仿宋_GB2312" w:eastAsia="仿宋_GB2312"/>
          <w:color w:val="000000"/>
          <w:sz w:val="32"/>
          <w:szCs w:val="32"/>
        </w:rPr>
        <w:t>截至201</w:t>
      </w:r>
      <w:r>
        <w:rPr>
          <w:rFonts w:ascii="仿宋_GB2312" w:eastAsia="仿宋_GB2312" w:hint="eastAsia"/>
          <w:color w:val="000000"/>
          <w:sz w:val="32"/>
          <w:szCs w:val="32"/>
        </w:rPr>
        <w:t>8</w:t>
      </w:r>
      <w:r>
        <w:rPr>
          <w:rFonts w:ascii="仿宋_GB2312" w:eastAsia="仿宋_GB2312"/>
          <w:color w:val="000000"/>
          <w:sz w:val="32"/>
          <w:szCs w:val="32"/>
        </w:rPr>
        <w:t>年12月31日，省人大常委会办公厅编制人数为</w:t>
      </w:r>
      <w:r>
        <w:rPr>
          <w:rFonts w:ascii="仿宋_GB2312" w:eastAsia="仿宋_GB2312" w:hint="eastAsia"/>
          <w:color w:val="000000"/>
          <w:sz w:val="32"/>
          <w:szCs w:val="32"/>
        </w:rPr>
        <w:t>301</w:t>
      </w:r>
      <w:r>
        <w:rPr>
          <w:rFonts w:ascii="仿宋_GB2312" w:eastAsia="仿宋_GB2312"/>
          <w:color w:val="000000"/>
          <w:sz w:val="32"/>
          <w:szCs w:val="32"/>
        </w:rPr>
        <w:t>人</w:t>
      </w:r>
      <w:r>
        <w:rPr>
          <w:rFonts w:ascii="仿宋_GB2312" w:eastAsia="仿宋_GB2312" w:hint="eastAsia"/>
          <w:color w:val="000000"/>
          <w:sz w:val="32"/>
          <w:szCs w:val="32"/>
        </w:rPr>
        <w:t>，</w:t>
      </w:r>
      <w:r>
        <w:rPr>
          <w:rFonts w:ascii="仿宋_GB2312" w:eastAsia="仿宋_GB2312"/>
          <w:color w:val="000000"/>
          <w:sz w:val="32"/>
          <w:szCs w:val="32"/>
        </w:rPr>
        <w:t>其中：省人大机关20</w:t>
      </w:r>
      <w:r>
        <w:rPr>
          <w:rFonts w:ascii="仿宋_GB2312" w:eastAsia="仿宋_GB2312" w:hint="eastAsia"/>
          <w:color w:val="000000"/>
          <w:sz w:val="32"/>
          <w:szCs w:val="32"/>
        </w:rPr>
        <w:t>6</w:t>
      </w:r>
      <w:r>
        <w:rPr>
          <w:rFonts w:ascii="仿宋_GB2312" w:eastAsia="仿宋_GB2312"/>
          <w:color w:val="000000"/>
          <w:sz w:val="32"/>
          <w:szCs w:val="32"/>
        </w:rPr>
        <w:t>人</w:t>
      </w:r>
      <w:r>
        <w:rPr>
          <w:rFonts w:ascii="仿宋_GB2312" w:eastAsia="仿宋_GB2312" w:hint="eastAsia"/>
          <w:color w:val="000000"/>
          <w:sz w:val="32"/>
          <w:szCs w:val="32"/>
        </w:rPr>
        <w:t>，</w:t>
      </w:r>
      <w:r>
        <w:rPr>
          <w:rFonts w:ascii="仿宋_GB2312" w:eastAsia="仿宋_GB2312"/>
          <w:color w:val="000000"/>
          <w:sz w:val="32"/>
          <w:szCs w:val="32"/>
        </w:rPr>
        <w:t>工勤人员3人；事业单位参照公务员法管理人员</w:t>
      </w:r>
      <w:r>
        <w:rPr>
          <w:rFonts w:ascii="仿宋_GB2312" w:eastAsia="仿宋_GB2312" w:hint="eastAsia"/>
          <w:color w:val="000000"/>
          <w:sz w:val="32"/>
          <w:szCs w:val="32"/>
        </w:rPr>
        <w:t>5</w:t>
      </w:r>
      <w:r>
        <w:rPr>
          <w:rFonts w:ascii="仿宋_GB2312" w:eastAsia="仿宋_GB2312"/>
          <w:color w:val="000000"/>
          <w:sz w:val="32"/>
          <w:szCs w:val="32"/>
        </w:rPr>
        <w:t>人；财政补助事业人员</w:t>
      </w:r>
      <w:r>
        <w:rPr>
          <w:rFonts w:ascii="仿宋_GB2312" w:eastAsia="仿宋_GB2312" w:hint="eastAsia"/>
          <w:color w:val="000000"/>
          <w:sz w:val="32"/>
          <w:szCs w:val="32"/>
        </w:rPr>
        <w:t>87</w:t>
      </w:r>
      <w:r>
        <w:rPr>
          <w:rFonts w:ascii="仿宋_GB2312" w:eastAsia="仿宋_GB2312"/>
          <w:color w:val="000000"/>
          <w:sz w:val="32"/>
          <w:szCs w:val="32"/>
        </w:rPr>
        <w:t>人。</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人员实有情况：</w:t>
      </w:r>
      <w:r>
        <w:rPr>
          <w:rFonts w:ascii="仿宋_GB2312" w:eastAsia="仿宋_GB2312"/>
          <w:color w:val="000000"/>
          <w:sz w:val="32"/>
          <w:szCs w:val="32"/>
        </w:rPr>
        <w:t>截至201</w:t>
      </w:r>
      <w:r>
        <w:rPr>
          <w:rFonts w:ascii="仿宋_GB2312" w:eastAsia="仿宋_GB2312" w:hint="eastAsia"/>
          <w:color w:val="000000"/>
          <w:sz w:val="32"/>
          <w:szCs w:val="32"/>
        </w:rPr>
        <w:t>8</w:t>
      </w:r>
      <w:r>
        <w:rPr>
          <w:rFonts w:ascii="仿宋_GB2312" w:eastAsia="仿宋_GB2312"/>
          <w:color w:val="000000"/>
          <w:sz w:val="32"/>
          <w:szCs w:val="32"/>
        </w:rPr>
        <w:t>年12月31日</w:t>
      </w:r>
      <w:r>
        <w:rPr>
          <w:rFonts w:ascii="仿宋_GB2312" w:eastAsia="仿宋_GB2312" w:hint="eastAsia"/>
          <w:color w:val="000000"/>
          <w:sz w:val="32"/>
          <w:szCs w:val="32"/>
        </w:rPr>
        <w:t>，实有人数为269人，其中：</w:t>
      </w:r>
      <w:r>
        <w:rPr>
          <w:rFonts w:ascii="仿宋_GB2312" w:eastAsia="仿宋_GB2312"/>
          <w:color w:val="000000"/>
          <w:sz w:val="32"/>
          <w:szCs w:val="32"/>
        </w:rPr>
        <w:t>在职人员</w:t>
      </w:r>
      <w:r>
        <w:rPr>
          <w:rFonts w:ascii="仿宋_GB2312" w:eastAsia="仿宋_GB2312" w:hint="eastAsia"/>
          <w:color w:val="000000"/>
          <w:sz w:val="32"/>
          <w:szCs w:val="32"/>
        </w:rPr>
        <w:t>261</w:t>
      </w:r>
      <w:r>
        <w:rPr>
          <w:rFonts w:ascii="仿宋_GB2312" w:eastAsia="仿宋_GB2312"/>
          <w:color w:val="000000"/>
          <w:sz w:val="32"/>
          <w:szCs w:val="32"/>
        </w:rPr>
        <w:t>人，离休人员</w:t>
      </w:r>
      <w:r>
        <w:rPr>
          <w:rFonts w:ascii="仿宋_GB2312" w:eastAsia="仿宋_GB2312" w:hint="eastAsia"/>
          <w:color w:val="000000"/>
          <w:sz w:val="32"/>
          <w:szCs w:val="32"/>
        </w:rPr>
        <w:t>8</w:t>
      </w:r>
      <w:r>
        <w:rPr>
          <w:rFonts w:ascii="仿宋_GB2312" w:eastAsia="仿宋_GB2312"/>
          <w:color w:val="000000"/>
          <w:sz w:val="32"/>
          <w:szCs w:val="32"/>
        </w:rPr>
        <w:t>人</w:t>
      </w:r>
      <w:r>
        <w:rPr>
          <w:rFonts w:ascii="仿宋_GB2312" w:eastAsia="仿宋_GB2312" w:hint="eastAsia"/>
          <w:color w:val="000000"/>
          <w:sz w:val="32"/>
          <w:szCs w:val="32"/>
        </w:rPr>
        <w:t>。实有人数较上年增加4人，其中：行政人员较上年增加10人，主要是由于新进军转干部9人，调入公务员1人；</w:t>
      </w:r>
      <w:r>
        <w:rPr>
          <w:rFonts w:ascii="仿宋_GB2312" w:eastAsia="仿宋_GB2312"/>
          <w:color w:val="000000"/>
          <w:sz w:val="32"/>
          <w:szCs w:val="32"/>
        </w:rPr>
        <w:t>财政补助</w:t>
      </w:r>
      <w:r>
        <w:rPr>
          <w:rFonts w:ascii="仿宋_GB2312" w:eastAsia="仿宋_GB2312" w:hint="eastAsia"/>
          <w:color w:val="000000"/>
          <w:sz w:val="32"/>
          <w:szCs w:val="32"/>
        </w:rPr>
        <w:t>事业人员48</w:t>
      </w:r>
      <w:r>
        <w:rPr>
          <w:rFonts w:ascii="仿宋_GB2312" w:eastAsia="仿宋_GB2312"/>
          <w:color w:val="000000"/>
          <w:sz w:val="32"/>
          <w:szCs w:val="32"/>
        </w:rPr>
        <w:t>人</w:t>
      </w:r>
      <w:r>
        <w:rPr>
          <w:rFonts w:ascii="仿宋_GB2312" w:eastAsia="仿宋_GB2312" w:hint="eastAsia"/>
          <w:color w:val="000000"/>
          <w:sz w:val="32"/>
          <w:szCs w:val="32"/>
        </w:rPr>
        <w:t>，较上年减少5人，主要是因为事业人员退休5名；离休干部减少1人。</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二、部门财政资金收支情况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部门财政资金收入情况：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根据2018年部门决算报表，2018年</w:t>
      </w:r>
      <w:r>
        <w:rPr>
          <w:rFonts w:ascii="仿宋_GB2312" w:eastAsia="仿宋_GB2312"/>
          <w:color w:val="000000"/>
          <w:sz w:val="32"/>
          <w:szCs w:val="32"/>
        </w:rPr>
        <w:t>省人大常委会办公厅</w:t>
      </w:r>
      <w:r>
        <w:rPr>
          <w:rFonts w:ascii="仿宋_GB2312" w:eastAsia="仿宋_GB2312" w:hint="eastAsia"/>
          <w:color w:val="000000"/>
          <w:sz w:val="32"/>
          <w:szCs w:val="32"/>
        </w:rPr>
        <w:t>财政资金</w:t>
      </w:r>
      <w:r>
        <w:rPr>
          <w:rFonts w:ascii="仿宋_GB2312" w:eastAsia="仿宋_GB2312"/>
          <w:color w:val="000000"/>
          <w:sz w:val="32"/>
          <w:szCs w:val="32"/>
        </w:rPr>
        <w:t>收入为</w:t>
      </w:r>
      <w:r>
        <w:rPr>
          <w:rFonts w:ascii="仿宋_GB2312" w:eastAsia="仿宋_GB2312" w:hint="eastAsia"/>
          <w:color w:val="000000"/>
          <w:sz w:val="32"/>
          <w:szCs w:val="32"/>
        </w:rPr>
        <w:t>12327.02万</w:t>
      </w:r>
      <w:r>
        <w:rPr>
          <w:rFonts w:ascii="仿宋_GB2312" w:eastAsia="仿宋_GB2312"/>
          <w:color w:val="000000"/>
          <w:sz w:val="32"/>
          <w:szCs w:val="32"/>
        </w:rPr>
        <w:t>元。</w:t>
      </w:r>
      <w:r>
        <w:rPr>
          <w:rFonts w:ascii="仿宋_GB2312" w:eastAsia="仿宋_GB2312" w:hint="eastAsia"/>
          <w:color w:val="000000"/>
          <w:sz w:val="32"/>
          <w:szCs w:val="32"/>
        </w:rPr>
        <w:t>其中：办公厅本级收入11201.07万元、省级机关老干部休养三所收入444.70万元、省人大常委会办公厅机关服务中心年收入632.34万元、省人大常委会办公厅信息中心收入48.91万元。</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部门财政资金支出情况：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根据2018年部门决算报表，2018年</w:t>
      </w:r>
      <w:r>
        <w:rPr>
          <w:rFonts w:ascii="仿宋_GB2312" w:eastAsia="仿宋_GB2312"/>
          <w:color w:val="000000"/>
          <w:sz w:val="32"/>
          <w:szCs w:val="32"/>
        </w:rPr>
        <w:t>省人大常委会办公厅</w:t>
      </w:r>
      <w:r>
        <w:rPr>
          <w:rFonts w:ascii="仿宋_GB2312" w:eastAsia="仿宋_GB2312" w:hint="eastAsia"/>
          <w:color w:val="000000"/>
          <w:sz w:val="32"/>
          <w:szCs w:val="32"/>
        </w:rPr>
        <w:t>财政资金支出</w:t>
      </w:r>
      <w:r>
        <w:rPr>
          <w:rFonts w:ascii="仿宋_GB2312" w:eastAsia="仿宋_GB2312"/>
          <w:color w:val="000000"/>
          <w:sz w:val="32"/>
          <w:szCs w:val="32"/>
        </w:rPr>
        <w:t>为</w:t>
      </w:r>
      <w:r>
        <w:rPr>
          <w:rFonts w:ascii="仿宋_GB2312" w:eastAsia="仿宋_GB2312" w:hint="eastAsia"/>
          <w:color w:val="000000"/>
          <w:sz w:val="32"/>
          <w:szCs w:val="32"/>
        </w:rPr>
        <w:t>12327.02万</w:t>
      </w:r>
      <w:r>
        <w:rPr>
          <w:rFonts w:ascii="仿宋_GB2312" w:eastAsia="仿宋_GB2312"/>
          <w:color w:val="000000"/>
          <w:sz w:val="32"/>
          <w:szCs w:val="32"/>
        </w:rPr>
        <w:t>元。</w:t>
      </w:r>
      <w:r>
        <w:rPr>
          <w:rFonts w:ascii="仿宋_GB2312" w:eastAsia="仿宋_GB2312" w:hint="eastAsia"/>
          <w:color w:val="000000"/>
          <w:sz w:val="32"/>
          <w:szCs w:val="32"/>
        </w:rPr>
        <w:t>其中：办公厅本级支出11201.07万元、省级机关老干部休养三所支出444.70万元、省人大常委会办公厅机关服务中心年支出632.34万元、省人大常委会办公厅信息中心支出48.91万元。</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三、部门整体预算绩效管理情况</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（一）预算编制</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1、目标制定：得分10分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严格贯彻落实中央和省级财政预算绩效管理政策。切实落实全面实施预算绩效管理的相关意见，转变预算绩效管理理念，将预算绩效理念和方法深度融入到预算编制、执行、监督全过程，改进部门预算绩效目标编制、绩效监控、绩效评价、结果运用等工作。重点做好绩效目标编制工作，为绩效管理工作打牢基石。</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绩效目标编制紧扣办公厅职能职责。</w:t>
      </w:r>
      <w:r>
        <w:rPr>
          <w:rFonts w:ascii="仿宋_GB2312" w:eastAsia="仿宋_GB2312"/>
          <w:color w:val="000000"/>
          <w:sz w:val="32"/>
          <w:szCs w:val="32"/>
        </w:rPr>
        <w:t>201</w:t>
      </w:r>
      <w:r>
        <w:rPr>
          <w:rFonts w:ascii="仿宋_GB2312" w:eastAsia="仿宋_GB2312" w:hint="eastAsia"/>
          <w:color w:val="000000"/>
          <w:sz w:val="32"/>
          <w:szCs w:val="32"/>
        </w:rPr>
        <w:t>8年，省人大常委会办公厅立足</w:t>
      </w:r>
      <w:proofErr w:type="gramStart"/>
      <w:r>
        <w:rPr>
          <w:rFonts w:ascii="仿宋_GB2312" w:eastAsia="仿宋_GB2312" w:hint="eastAsia"/>
          <w:color w:val="000000"/>
          <w:sz w:val="32"/>
          <w:szCs w:val="32"/>
        </w:rPr>
        <w:t>服务省</w:t>
      </w:r>
      <w:proofErr w:type="gramEnd"/>
      <w:r>
        <w:rPr>
          <w:rFonts w:ascii="仿宋_GB2312" w:eastAsia="仿宋_GB2312" w:hint="eastAsia"/>
          <w:color w:val="000000"/>
          <w:sz w:val="32"/>
          <w:szCs w:val="32"/>
        </w:rPr>
        <w:t>人大常委会中心工作，以“努力提高地方立法质量，法治保障作用有效发挥；着力完善监督机制，监督工作更加有力；依法行使决定权任免权，党的主张和人民意志充分体现；大力支持代表依法履职，代表工作进一步深化和拓展；切实加强自身建设，依法</w:t>
      </w:r>
      <w:proofErr w:type="gramStart"/>
      <w:r>
        <w:rPr>
          <w:rFonts w:ascii="仿宋_GB2312" w:eastAsia="仿宋_GB2312" w:hint="eastAsia"/>
          <w:color w:val="000000"/>
          <w:sz w:val="32"/>
          <w:szCs w:val="32"/>
        </w:rPr>
        <w:t>履</w:t>
      </w:r>
      <w:proofErr w:type="gramEnd"/>
      <w:r>
        <w:rPr>
          <w:rFonts w:ascii="仿宋_GB2312" w:eastAsia="仿宋_GB2312" w:hint="eastAsia"/>
          <w:color w:val="000000"/>
          <w:sz w:val="32"/>
          <w:szCs w:val="32"/>
        </w:rPr>
        <w:t>职能力不断增强”五项工作为重点。办公厅以实现基本职能职责为导向，结合</w:t>
      </w:r>
      <w:r>
        <w:rPr>
          <w:rFonts w:ascii="仿宋_GB2312" w:eastAsia="仿宋_GB2312"/>
          <w:color w:val="000000"/>
          <w:sz w:val="32"/>
          <w:szCs w:val="32"/>
        </w:rPr>
        <w:t>201</w:t>
      </w:r>
      <w:r>
        <w:rPr>
          <w:rFonts w:ascii="仿宋_GB2312" w:eastAsia="仿宋_GB2312" w:hint="eastAsia"/>
          <w:color w:val="000000"/>
          <w:sz w:val="32"/>
          <w:szCs w:val="32"/>
        </w:rPr>
        <w:t>8年度办公厅整体工作计划和目标任务，科学合理设置了</w:t>
      </w:r>
      <w:r>
        <w:rPr>
          <w:rFonts w:ascii="仿宋_GB2312" w:eastAsia="仿宋_GB2312" w:hint="eastAsia"/>
          <w:color w:val="000000"/>
          <w:sz w:val="32"/>
          <w:szCs w:val="32"/>
        </w:rPr>
        <w:lastRenderedPageBreak/>
        <w:t>部门整体支出绩效目标。专用项目绩效目标编制过程中，由资金使用部门根据项目实施方案、计划，和预期将达到的绩效目标如实填报效果目标，做到了绩效目标符合各自项目特点。部门编制专用项目绩效目标后，经办公厅审核，确保预算金额和绩效目标相匹配。</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绩效目标符合预算绩效目标管理办法。省人大办公厅围绕部门职能，以预算资金管理为主线，统筹考虑资产和业务活动，从运行成本、管理效率、履职效能、社会效益、可持续发展能力和服务对象满意度方面，设定绩效目标，衡量部门整体和部分专用项目预算执行效果。绩效目标编制与相应的资金使用内容、范围、方向紧密相关，指向明确。指标值采用定量表述和定性表述相结合的办法，充分细化量化。</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2、目标完成：得分10分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办公厅履职成效：2018年，在省委坚强领导下，省人大常委会深入学习贯彻习近平总书记关于坚持和完善人民代表大会制度的重要思想，坚持党的领导、人民当家作主、依法治国有机统一，围绕省委十一届三次、四次全会决策部署，大力推进民主法治建设，创新工作思路，强化责任担当，依法履行职权。共召开省人大常委会会议9次，制定、修改、废止地方性法规26件，批准市州地方性法规和民族自治地方单行条例38件，听取和审议专项工作报告16个，开展执法检查4次，组织专题询问和专项工作评议各1次，听取和</w:t>
      </w:r>
      <w:r>
        <w:rPr>
          <w:rFonts w:ascii="仿宋_GB2312" w:eastAsia="仿宋_GB2312" w:hint="eastAsia"/>
          <w:color w:val="000000"/>
          <w:sz w:val="32"/>
          <w:szCs w:val="32"/>
        </w:rPr>
        <w:lastRenderedPageBreak/>
        <w:t>审议政府报送的重大事项报告6项，</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决定决议6项，依法任免和批准任免国家机关工作人员161人次。</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可持续发展能力：主动适应新时代新要求，贯彻中央和省委全面从严治党部署，持续</w:t>
      </w:r>
      <w:proofErr w:type="gramStart"/>
      <w:r>
        <w:rPr>
          <w:rFonts w:ascii="仿宋_GB2312" w:eastAsia="仿宋_GB2312" w:hint="eastAsia"/>
          <w:color w:val="000000"/>
          <w:sz w:val="32"/>
          <w:szCs w:val="32"/>
        </w:rPr>
        <w:t>用力抓好</w:t>
      </w:r>
      <w:proofErr w:type="gramEnd"/>
      <w:r>
        <w:rPr>
          <w:rFonts w:ascii="仿宋_GB2312" w:eastAsia="仿宋_GB2312" w:hint="eastAsia"/>
          <w:color w:val="000000"/>
          <w:sz w:val="32"/>
          <w:szCs w:val="32"/>
        </w:rPr>
        <w:t>自身建设，为依法履职提供坚强政治保证、组织保证和制度保证。具体从全面加强党的建设、理论武装、制度建设和创新工作路径四个方面，强化自身建设，提高部门</w:t>
      </w:r>
      <w:proofErr w:type="gramStart"/>
      <w:r>
        <w:rPr>
          <w:rFonts w:ascii="仿宋_GB2312" w:eastAsia="仿宋_GB2312" w:hint="eastAsia"/>
          <w:color w:val="000000"/>
          <w:sz w:val="32"/>
          <w:szCs w:val="32"/>
        </w:rPr>
        <w:t>履</w:t>
      </w:r>
      <w:proofErr w:type="gramEnd"/>
      <w:r>
        <w:rPr>
          <w:rFonts w:ascii="仿宋_GB2312" w:eastAsia="仿宋_GB2312" w:hint="eastAsia"/>
          <w:color w:val="000000"/>
          <w:sz w:val="32"/>
          <w:szCs w:val="32"/>
        </w:rPr>
        <w:t>职能力和水平。积极创新工作路径，提出建设讲忠诚有信念的政治机关、讲法治有权威的权力机关、讲责任有担当的工作机关、讲宗旨有情怀的代表机关的工作新路径，并以此作为重要载体和抓手，推动人大工作与时俱进、创新发展。制定开展“四讲四有”人大建设活动方案，在省人大机关率先实施，同时向全省人大系统拓展延伸。在各级人大协同努力下，“四讲四有”建设取得了积极成效，全省人大工作呈现出新气象。全年共召开24次党组会议，向省委请示报告工作60件次，邀请公民58人次</w:t>
      </w:r>
      <w:proofErr w:type="gramStart"/>
      <w:r>
        <w:rPr>
          <w:rFonts w:ascii="仿宋_GB2312" w:eastAsia="仿宋_GB2312" w:hint="eastAsia"/>
          <w:color w:val="000000"/>
          <w:sz w:val="32"/>
          <w:szCs w:val="32"/>
        </w:rPr>
        <w:t>旁听省</w:t>
      </w:r>
      <w:proofErr w:type="gramEnd"/>
      <w:r>
        <w:rPr>
          <w:rFonts w:ascii="仿宋_GB2312" w:eastAsia="仿宋_GB2312" w:hint="eastAsia"/>
          <w:color w:val="000000"/>
          <w:sz w:val="32"/>
          <w:szCs w:val="32"/>
        </w:rPr>
        <w:t>人代会和省人大常委会会议，召开6次旁听公民座谈会听取意见建议，围绕经济发展、社会治理、民生保障等开展了13个重点课题调研。</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社会效益和满意度情况：加强代表议案建议办理，省十三届人大一次会议主席团交付审议的11件代表议案全部审议完毕，其中涉及的修改阆中古城保护条例进入审议程序，天府新区条例等6个立法项目列入立法规划或计划；978件</w:t>
      </w:r>
      <w:r>
        <w:rPr>
          <w:rFonts w:ascii="仿宋_GB2312" w:eastAsia="仿宋_GB2312" w:hint="eastAsia"/>
          <w:color w:val="000000"/>
          <w:sz w:val="32"/>
          <w:szCs w:val="32"/>
        </w:rPr>
        <w:lastRenderedPageBreak/>
        <w:t>建议、批评和意见全部办理完毕并答复代表。由省人大常委会副主任牵头督办的13件重点督办建议均已办结，解决了一批人大代表关注、人民群众关心的重点难点问题。改进代表建议办理评价机制，实行“满意度”评价和网上公开制度，探索实施办理答复情况、落实情况的评价制度。密切与人大代表的联系，常态化听取代表对省人大常委会工作的意见建议，扩大代表对省人大常委会、专委会工作的参与，邀请代表列席省人大常委会会议76人次。建立人大代表履职网上平台，巩固“代表之家”“代表联络站”等履职实体平台建设。组织开展履职培训，分期培训省人大代表600余人次，基本实现新任代表全覆盖。推进县乡两级人大代表向选民述职工作，代表履职监督基本实现制度化、规范化、常态化。</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3、编制准确：得分9.8分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2019年财政下达年度预算总额11339.39万元，预算结余注销额114.6万元，评分标准满分10分，根据评分公式计算，得分9.8分。预算结余注销资金主要为公务接待费66.83万元、公务用车运行维护费17.07万元、因公出国（境）经费3.62万元和政府采购结余资金27.08万元。</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（二）预算执行</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1、支出控制：得分9分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日常公用经费和项目支出中物业管理费年初预4972.38万元，年</w:t>
      </w:r>
      <w:proofErr w:type="gramStart"/>
      <w:r>
        <w:rPr>
          <w:rFonts w:ascii="仿宋_GB2312" w:eastAsia="仿宋_GB2312" w:hint="eastAsia"/>
          <w:color w:val="000000"/>
          <w:sz w:val="32"/>
          <w:szCs w:val="32"/>
        </w:rPr>
        <w:t>末决</w:t>
      </w:r>
      <w:proofErr w:type="gramEnd"/>
      <w:r>
        <w:rPr>
          <w:rFonts w:ascii="仿宋_GB2312" w:eastAsia="仿宋_GB2312" w:hint="eastAsia"/>
          <w:color w:val="000000"/>
          <w:sz w:val="32"/>
          <w:szCs w:val="32"/>
        </w:rPr>
        <w:t>算4902.85万元，差额69.53万元，预决算偏</w:t>
      </w:r>
      <w:r>
        <w:rPr>
          <w:rFonts w:ascii="仿宋_GB2312" w:eastAsia="仿宋_GB2312" w:hint="eastAsia"/>
          <w:color w:val="000000"/>
          <w:sz w:val="32"/>
          <w:szCs w:val="32"/>
        </w:rPr>
        <w:lastRenderedPageBreak/>
        <w:t>差度1%，满分10分，得分9分。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2、动态调整：得分9分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2018年财政厅对省人大办公厅绩效监控考核情况考核合格，绩效监控取消额为零，预算结余注销额114.6万元，满分10分，得分9分。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3、执行进度：得分10分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省人大办公厅2018年6月部门预算执行进度为46%，高于要求的执行进度40%，得分3分;9月执行进度72%，高于要求的执行进度67.5%，得分4分；11月执行进度87% ，高于要求的执行进度82.5%，得分3分，以上合计10分。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（三）完成结果</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1、预算完成：得分9.8分 </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省人大办公厅12月部门预算执行进度98%，根据评分标准，得分9.8分。  </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2、违规记录：得分10分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省人大办公厅全年接受省纪委驻省人大机关纪检组常态化监督检查，接受财政厅日常监督指导和审计厅的决算审签，全年无违规记录。</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（四）自评质量</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2018年省人大办公厅整体支出自评得分与</w:t>
      </w:r>
      <w:proofErr w:type="gramStart"/>
      <w:r>
        <w:rPr>
          <w:rFonts w:ascii="仿宋_GB2312" w:eastAsia="仿宋_GB2312" w:hint="eastAsia"/>
          <w:color w:val="000000"/>
          <w:sz w:val="32"/>
          <w:szCs w:val="32"/>
        </w:rPr>
        <w:t>评价组抽查</w:t>
      </w:r>
      <w:proofErr w:type="gramEnd"/>
      <w:r>
        <w:rPr>
          <w:rFonts w:ascii="仿宋_GB2312" w:eastAsia="仿宋_GB2312" w:hint="eastAsia"/>
          <w:color w:val="000000"/>
          <w:sz w:val="32"/>
          <w:szCs w:val="32"/>
        </w:rPr>
        <w:t>得分差异在5%之内，得分4分。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（五）信息公开</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按照省财政厅的相关通知要求，省人大办公厅在省财政厅批复预算、决算后的二十日内，在财政的统一时间及规定网站，除涉密信息外向社会公开了本部门的预算、决算信息（含所有财政资金安排的</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经费、机关运行经费的安排、使用情况等）、部门绩效目标和部门整体绩效自评情况，得分共计8分。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（六）整改反馈</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按照省财厅绩效管理工作相关要求严格落实，认真完成年度预算绩效目标编制、日常动态监控、绩效评价和绩效评价结果运用工作，按时向财政厅报送相关情况，得分8分。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四、评价结论及建议</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（一）评价结论</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综上省人大办公厅2018年度部门整体绩效评价得分97.6分。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省人大办公厅对各项专项经费的使用是以达到财政资金使用效益最大化为前提，以实现专项项目年初预算绩效目标为目的，不断改进财务管理，优化部门支出结构，加快预算执行进度，充分发挥资金使用效益。根据部门自评，省人大办公厅采取了有效的资金使用管理措施，各项资金使用严格履行审批程序，资金使用达到了预期效果，较好的服务和保障了省人大常委会圆满完成年度立法工作、监督工作、调研工作以及代表工作，实现了</w:t>
      </w:r>
      <w:r>
        <w:rPr>
          <w:rFonts w:ascii="仿宋_GB2312" w:eastAsia="仿宋_GB2312"/>
          <w:color w:val="000000"/>
          <w:sz w:val="32"/>
          <w:szCs w:val="32"/>
        </w:rPr>
        <w:t>201</w:t>
      </w:r>
      <w:r>
        <w:rPr>
          <w:rFonts w:ascii="仿宋_GB2312" w:eastAsia="仿宋_GB2312" w:hint="eastAsia"/>
          <w:color w:val="000000"/>
          <w:sz w:val="32"/>
          <w:szCs w:val="32"/>
        </w:rPr>
        <w:t>8财政预算支出的绩效目</w:t>
      </w:r>
      <w:r>
        <w:rPr>
          <w:rFonts w:ascii="仿宋_GB2312" w:eastAsia="仿宋_GB2312" w:hint="eastAsia"/>
          <w:color w:val="000000"/>
          <w:sz w:val="32"/>
          <w:szCs w:val="32"/>
        </w:rPr>
        <w:lastRenderedPageBreak/>
        <w:t>标。</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（二）存在问题</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、绩效管理理念有待进一步增强。经过多年推进，机关各部门对绩效的理念有了一定的了解，但长期以来形成的</w:t>
      </w:r>
      <w:r>
        <w:rPr>
          <w:rFonts w:ascii="仿宋_GB2312" w:eastAsia="仿宋_GB2312"/>
          <w:color w:val="000000"/>
          <w:sz w:val="32"/>
          <w:szCs w:val="32"/>
        </w:rPr>
        <w:t>“</w:t>
      </w:r>
      <w:r>
        <w:rPr>
          <w:rFonts w:ascii="仿宋_GB2312" w:eastAsia="仿宋_GB2312" w:hint="eastAsia"/>
          <w:color w:val="000000"/>
          <w:sz w:val="32"/>
          <w:szCs w:val="32"/>
        </w:rPr>
        <w:t>重安排，轻使用；重争取，轻管理</w:t>
      </w:r>
      <w:r>
        <w:rPr>
          <w:rFonts w:ascii="仿宋_GB2312" w:eastAsia="仿宋_GB2312"/>
          <w:color w:val="000000"/>
          <w:sz w:val="32"/>
          <w:szCs w:val="32"/>
        </w:rPr>
        <w:t>”</w:t>
      </w:r>
      <w:r>
        <w:rPr>
          <w:rFonts w:ascii="仿宋_GB2312" w:eastAsia="仿宋_GB2312" w:hint="eastAsia"/>
          <w:color w:val="000000"/>
          <w:sz w:val="32"/>
          <w:szCs w:val="32"/>
        </w:rPr>
        <w:t>的思想短期难以改变，“重产出、重结果”的绩效管理理念尚未完全深入人心。</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规范的预算绩效管理模式还需进一步完善。预算编制过程中的绩效目标确定、预算执行过程中的绩效监控、绩效评价结果的应用和问责等规范的预算绩效管理模式还在探索起步阶段，还未建立具体的预算支出绩效管理措施和办法。</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3、预算绩效管理的结果运用还需进一步加强。省人大办公厅实行预算执行网格化服务模式，由办公厅财务处网格化管理员对口服务指导各部门预算执行，并对各部门预算执行绩效进行监控和评价，但是在预算编制过程中尚未和预算绩效评价结果挂钩。</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（三）改进建议</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、加大宣传力度，强化绩效理念。通过机关各种渠道，加大绩效管理理念的宣传力度，不断提高机关各部门的绩效意识，让机关各部门支持绩效管理工作，打破预算绩效管理工作的</w:t>
      </w:r>
      <w:r>
        <w:rPr>
          <w:rFonts w:ascii="仿宋_GB2312" w:eastAsia="仿宋_GB2312"/>
          <w:color w:val="000000"/>
          <w:sz w:val="32"/>
          <w:szCs w:val="32"/>
        </w:rPr>
        <w:t>“</w:t>
      </w:r>
      <w:r>
        <w:rPr>
          <w:rFonts w:ascii="仿宋_GB2312" w:eastAsia="仿宋_GB2312" w:hint="eastAsia"/>
          <w:color w:val="000000"/>
          <w:sz w:val="32"/>
          <w:szCs w:val="32"/>
        </w:rPr>
        <w:t>瓶颈</w:t>
      </w:r>
      <w:r>
        <w:rPr>
          <w:rFonts w:ascii="仿宋_GB2312" w:eastAsia="仿宋_GB2312"/>
          <w:color w:val="000000"/>
          <w:sz w:val="32"/>
          <w:szCs w:val="32"/>
        </w:rPr>
        <w:t>”</w:t>
      </w:r>
      <w:r>
        <w:rPr>
          <w:rFonts w:ascii="仿宋_GB2312" w:eastAsia="仿宋_GB2312" w:hint="eastAsia"/>
          <w:color w:val="000000"/>
          <w:sz w:val="32"/>
          <w:szCs w:val="32"/>
        </w:rPr>
        <w:t>。</w:t>
      </w: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、规范预算绩效管理，细化绩效管理措施。省人大常</w:t>
      </w:r>
      <w:r>
        <w:rPr>
          <w:rFonts w:ascii="仿宋_GB2312" w:eastAsia="仿宋_GB2312" w:hint="eastAsia"/>
          <w:color w:val="000000"/>
          <w:sz w:val="32"/>
          <w:szCs w:val="32"/>
        </w:rPr>
        <w:lastRenderedPageBreak/>
        <w:t>委会办公厅将严格按照省财政对预算支出绩效管理的相关要求，根据机关工作实际，加快对机关预算支出绩效管理具体措施的制定，并结合机关财务制度建设进一步规范部门预算绩效管理。</w:t>
      </w:r>
    </w:p>
    <w:p w:rsidR="00921E9E" w:rsidRDefault="00B941C6">
      <w:pPr>
        <w:ind w:firstLineChars="200" w:firstLine="640"/>
        <w:rPr>
          <w:rFonts w:ascii="仿宋_GB2312" w:eastAsia="仿宋_GB2312"/>
          <w:color w:val="000000"/>
          <w:sz w:val="32"/>
          <w:szCs w:val="32"/>
        </w:rPr>
      </w:pPr>
      <w:r>
        <w:rPr>
          <w:rFonts w:ascii="仿宋_GB2312" w:eastAsia="仿宋_GB2312" w:hint="eastAsia"/>
          <w:color w:val="000000"/>
          <w:sz w:val="32"/>
          <w:szCs w:val="32"/>
        </w:rPr>
        <w:t>3、继续推进网格化服务，强化日常指导。进一步推进机关预算执行网格化服务模式，在预算执行过程中引导各部门注重预算绩效管理，服务好指导好各部门预算执行工作。</w:t>
      </w:r>
    </w:p>
    <w:p w:rsidR="00921E9E" w:rsidRDefault="00921E9E">
      <w:pPr>
        <w:ind w:firstLineChars="200" w:firstLine="640"/>
        <w:rPr>
          <w:rFonts w:ascii="仿宋_GB2312" w:eastAsia="仿宋_GB2312"/>
          <w:color w:val="000000"/>
          <w:sz w:val="32"/>
          <w:szCs w:val="32"/>
        </w:rPr>
      </w:pPr>
    </w:p>
    <w:p w:rsidR="00921E9E" w:rsidRDefault="00B941C6">
      <w:pPr>
        <w:ind w:firstLineChars="200" w:firstLine="640"/>
        <w:rPr>
          <w:rFonts w:ascii="仿宋_GB2312" w:eastAsia="仿宋_GB2312"/>
          <w:color w:val="000000"/>
          <w:sz w:val="32"/>
          <w:szCs w:val="32"/>
        </w:rPr>
      </w:pPr>
      <w:r>
        <w:rPr>
          <w:rFonts w:ascii="仿宋_GB2312" w:eastAsia="仿宋_GB2312"/>
          <w:color w:val="000000"/>
          <w:sz w:val="32"/>
          <w:szCs w:val="32"/>
        </w:rPr>
        <w:br w:type="page"/>
      </w:r>
    </w:p>
    <w:p w:rsidR="00921E9E" w:rsidRDefault="00B941C6">
      <w:pPr>
        <w:spacing w:line="600" w:lineRule="exact"/>
        <w:jc w:val="center"/>
        <w:outlineLvl w:val="0"/>
        <w:rPr>
          <w:rStyle w:val="1Char"/>
          <w:rFonts w:ascii="黑体" w:eastAsia="黑体" w:hAnsi="黑体"/>
          <w:b w:val="0"/>
        </w:rPr>
      </w:pPr>
      <w:bookmarkStart w:id="61"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8"/>
      <w:bookmarkEnd w:id="61"/>
    </w:p>
    <w:p w:rsidR="00921E9E" w:rsidRDefault="00921E9E">
      <w:pPr>
        <w:spacing w:line="600" w:lineRule="exact"/>
        <w:jc w:val="center"/>
        <w:outlineLvl w:val="0"/>
        <w:rPr>
          <w:rFonts w:ascii="仿宋" w:eastAsia="仿宋" w:hAnsi="仿宋"/>
          <w:b/>
          <w:color w:val="000000"/>
          <w:sz w:val="44"/>
          <w:szCs w:val="44"/>
        </w:rPr>
      </w:pPr>
    </w:p>
    <w:p w:rsidR="00921E9E" w:rsidRDefault="00B941C6">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rsidR="00921E9E" w:rsidRDefault="00B941C6">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921E9E" w:rsidRDefault="00B941C6">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921E9E" w:rsidRDefault="00B941C6">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921E9E" w:rsidRDefault="00B941C6">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921E9E" w:rsidRDefault="00B941C6">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921E9E" w:rsidRDefault="00B941C6">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921E9E" w:rsidRDefault="00B941C6">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921E9E" w:rsidRDefault="00B941C6">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921E9E" w:rsidRDefault="00B941C6">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921E9E" w:rsidRDefault="00B941C6">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921E9E" w:rsidRDefault="00B941C6">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921E9E" w:rsidRDefault="00B941C6">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921E9E">
      <w:headerReference w:type="default" r:id="rId18"/>
      <w:footerReference w:type="defaul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05" w:rsidRDefault="00556A05">
      <w:r>
        <w:separator/>
      </w:r>
    </w:p>
  </w:endnote>
  <w:endnote w:type="continuationSeparator" w:id="0">
    <w:p w:rsidR="00556A05" w:rsidRDefault="0055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docPartObj>
        <w:docPartGallery w:val="AutoText"/>
      </w:docPartObj>
    </w:sdtPr>
    <w:sdtEndPr/>
    <w:sdtContent>
      <w:p w:rsidR="00B941C6" w:rsidRDefault="00B941C6">
        <w:pPr>
          <w:pStyle w:val="a5"/>
          <w:jc w:val="center"/>
        </w:pPr>
        <w:r>
          <w:fldChar w:fldCharType="begin"/>
        </w:r>
        <w:r>
          <w:instrText>PAGE   \* MERGEFORMAT</w:instrText>
        </w:r>
        <w:r>
          <w:fldChar w:fldCharType="separate"/>
        </w:r>
        <w:r w:rsidR="00E44183" w:rsidRPr="00E44183">
          <w:rPr>
            <w:noProof/>
            <w:lang w:val="zh-CN"/>
          </w:rPr>
          <w:t>14</w:t>
        </w:r>
        <w:r>
          <w:fldChar w:fldCharType="end"/>
        </w:r>
      </w:p>
    </w:sdtContent>
  </w:sdt>
  <w:p w:rsidR="00B941C6" w:rsidRDefault="00B941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05" w:rsidRDefault="00556A05">
      <w:r>
        <w:separator/>
      </w:r>
    </w:p>
  </w:footnote>
  <w:footnote w:type="continuationSeparator" w:id="0">
    <w:p w:rsidR="00556A05" w:rsidRDefault="00556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C6" w:rsidRDefault="00B941C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7CD66031"/>
    <w:multiLevelType w:val="multilevel"/>
    <w:tmpl w:val="7CD66031"/>
    <w:lvl w:ilvl="0">
      <w:start w:val="2"/>
      <w:numFmt w:val="japaneseCounting"/>
      <w:lvlText w:val="（%1）"/>
      <w:lvlJc w:val="left"/>
      <w:pPr>
        <w:ind w:left="1723" w:hanging="1080"/>
      </w:pPr>
      <w:rPr>
        <w:rFonts w:ascii="仿宋" w:eastAsia="仿宋" w:hAnsi="仿宋"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0FF6"/>
    <w:rsid w:val="0006487A"/>
    <w:rsid w:val="00065F8F"/>
    <w:rsid w:val="000768F2"/>
    <w:rsid w:val="00085077"/>
    <w:rsid w:val="0009184B"/>
    <w:rsid w:val="0009593C"/>
    <w:rsid w:val="000B047F"/>
    <w:rsid w:val="000B5923"/>
    <w:rsid w:val="000B5A48"/>
    <w:rsid w:val="000B6FF3"/>
    <w:rsid w:val="000C3467"/>
    <w:rsid w:val="000C3CA6"/>
    <w:rsid w:val="000D1267"/>
    <w:rsid w:val="000D1D50"/>
    <w:rsid w:val="000D5782"/>
    <w:rsid w:val="000E6613"/>
    <w:rsid w:val="000E7119"/>
    <w:rsid w:val="00107975"/>
    <w:rsid w:val="00114E9B"/>
    <w:rsid w:val="00116FA6"/>
    <w:rsid w:val="0014729F"/>
    <w:rsid w:val="00155AF2"/>
    <w:rsid w:val="00157BAB"/>
    <w:rsid w:val="001654D1"/>
    <w:rsid w:val="0018106D"/>
    <w:rsid w:val="00183989"/>
    <w:rsid w:val="001877A7"/>
    <w:rsid w:val="00191536"/>
    <w:rsid w:val="00193A62"/>
    <w:rsid w:val="00196687"/>
    <w:rsid w:val="001C0962"/>
    <w:rsid w:val="001D7531"/>
    <w:rsid w:val="001E737D"/>
    <w:rsid w:val="001F0592"/>
    <w:rsid w:val="001F321D"/>
    <w:rsid w:val="001F7506"/>
    <w:rsid w:val="002006CD"/>
    <w:rsid w:val="00202B36"/>
    <w:rsid w:val="00204B7A"/>
    <w:rsid w:val="0021101A"/>
    <w:rsid w:val="00220536"/>
    <w:rsid w:val="00235629"/>
    <w:rsid w:val="0024656E"/>
    <w:rsid w:val="00260C38"/>
    <w:rsid w:val="002616C0"/>
    <w:rsid w:val="002662AA"/>
    <w:rsid w:val="002770C3"/>
    <w:rsid w:val="00280496"/>
    <w:rsid w:val="00295495"/>
    <w:rsid w:val="002B2613"/>
    <w:rsid w:val="002D4287"/>
    <w:rsid w:val="002F1818"/>
    <w:rsid w:val="002F567B"/>
    <w:rsid w:val="00304415"/>
    <w:rsid w:val="003056BA"/>
    <w:rsid w:val="003216A9"/>
    <w:rsid w:val="00325DBA"/>
    <w:rsid w:val="0037013F"/>
    <w:rsid w:val="00370DDC"/>
    <w:rsid w:val="00380C92"/>
    <w:rsid w:val="0038349C"/>
    <w:rsid w:val="003A484F"/>
    <w:rsid w:val="003B0BE0"/>
    <w:rsid w:val="003B0C1B"/>
    <w:rsid w:val="003B12D1"/>
    <w:rsid w:val="003B688C"/>
    <w:rsid w:val="003B7183"/>
    <w:rsid w:val="003C0291"/>
    <w:rsid w:val="003C0981"/>
    <w:rsid w:val="003C39AE"/>
    <w:rsid w:val="003C42FA"/>
    <w:rsid w:val="003C7B60"/>
    <w:rsid w:val="003D1FB2"/>
    <w:rsid w:val="003D66DA"/>
    <w:rsid w:val="003E1310"/>
    <w:rsid w:val="003E6F55"/>
    <w:rsid w:val="00404D35"/>
    <w:rsid w:val="00406254"/>
    <w:rsid w:val="004223DE"/>
    <w:rsid w:val="00434489"/>
    <w:rsid w:val="00437085"/>
    <w:rsid w:val="00443880"/>
    <w:rsid w:val="004464F4"/>
    <w:rsid w:val="00457DFF"/>
    <w:rsid w:val="00471180"/>
    <w:rsid w:val="00471401"/>
    <w:rsid w:val="00473F31"/>
    <w:rsid w:val="0048263A"/>
    <w:rsid w:val="0048604B"/>
    <w:rsid w:val="00487E5D"/>
    <w:rsid w:val="004A711F"/>
    <w:rsid w:val="004B199D"/>
    <w:rsid w:val="004B4690"/>
    <w:rsid w:val="004C4F81"/>
    <w:rsid w:val="004E0A2D"/>
    <w:rsid w:val="004E206B"/>
    <w:rsid w:val="004E6DF7"/>
    <w:rsid w:val="004F0FBD"/>
    <w:rsid w:val="005048F3"/>
    <w:rsid w:val="00505A47"/>
    <w:rsid w:val="00512FDA"/>
    <w:rsid w:val="00520DA0"/>
    <w:rsid w:val="00554EF0"/>
    <w:rsid w:val="00556A05"/>
    <w:rsid w:val="005664BB"/>
    <w:rsid w:val="0058486E"/>
    <w:rsid w:val="005D18C2"/>
    <w:rsid w:val="005D1C8B"/>
    <w:rsid w:val="005D5CED"/>
    <w:rsid w:val="005F1A4C"/>
    <w:rsid w:val="00605688"/>
    <w:rsid w:val="006070AF"/>
    <w:rsid w:val="00607E6C"/>
    <w:rsid w:val="006101B1"/>
    <w:rsid w:val="00622830"/>
    <w:rsid w:val="00630AEF"/>
    <w:rsid w:val="006325F8"/>
    <w:rsid w:val="00634C9A"/>
    <w:rsid w:val="00637E1C"/>
    <w:rsid w:val="00643E75"/>
    <w:rsid w:val="006440E4"/>
    <w:rsid w:val="00646E0D"/>
    <w:rsid w:val="0065073C"/>
    <w:rsid w:val="0066343B"/>
    <w:rsid w:val="006748A4"/>
    <w:rsid w:val="00683E73"/>
    <w:rsid w:val="006A3141"/>
    <w:rsid w:val="006A5E34"/>
    <w:rsid w:val="006B2422"/>
    <w:rsid w:val="006B2B9A"/>
    <w:rsid w:val="006C0D08"/>
    <w:rsid w:val="006C1937"/>
    <w:rsid w:val="006E1DF5"/>
    <w:rsid w:val="006F020C"/>
    <w:rsid w:val="00710204"/>
    <w:rsid w:val="007127B7"/>
    <w:rsid w:val="00712A49"/>
    <w:rsid w:val="00727F88"/>
    <w:rsid w:val="007416B6"/>
    <w:rsid w:val="00746F48"/>
    <w:rsid w:val="0075404D"/>
    <w:rsid w:val="0076182A"/>
    <w:rsid w:val="00767B7E"/>
    <w:rsid w:val="007770C3"/>
    <w:rsid w:val="00784D24"/>
    <w:rsid w:val="00785FBA"/>
    <w:rsid w:val="00786E4A"/>
    <w:rsid w:val="007875EB"/>
    <w:rsid w:val="00793348"/>
    <w:rsid w:val="0079426B"/>
    <w:rsid w:val="007D0A6E"/>
    <w:rsid w:val="007D3F19"/>
    <w:rsid w:val="007F1991"/>
    <w:rsid w:val="007F2C2F"/>
    <w:rsid w:val="007F55FC"/>
    <w:rsid w:val="007F5665"/>
    <w:rsid w:val="00800112"/>
    <w:rsid w:val="008253BB"/>
    <w:rsid w:val="00825CE6"/>
    <w:rsid w:val="0083706E"/>
    <w:rsid w:val="008423A5"/>
    <w:rsid w:val="00850625"/>
    <w:rsid w:val="00853718"/>
    <w:rsid w:val="00855221"/>
    <w:rsid w:val="00860645"/>
    <w:rsid w:val="00871F71"/>
    <w:rsid w:val="00876B11"/>
    <w:rsid w:val="00885AF4"/>
    <w:rsid w:val="008939CD"/>
    <w:rsid w:val="00896DB1"/>
    <w:rsid w:val="008A0293"/>
    <w:rsid w:val="008B768C"/>
    <w:rsid w:val="008C4DB1"/>
    <w:rsid w:val="008C4EAF"/>
    <w:rsid w:val="008C5176"/>
    <w:rsid w:val="008C7FD0"/>
    <w:rsid w:val="008D1A1F"/>
    <w:rsid w:val="008E1DE7"/>
    <w:rsid w:val="008E707C"/>
    <w:rsid w:val="00900B08"/>
    <w:rsid w:val="00902155"/>
    <w:rsid w:val="00902FA3"/>
    <w:rsid w:val="009077D2"/>
    <w:rsid w:val="00921E9E"/>
    <w:rsid w:val="00923564"/>
    <w:rsid w:val="0092392E"/>
    <w:rsid w:val="009315F9"/>
    <w:rsid w:val="00940543"/>
    <w:rsid w:val="00946945"/>
    <w:rsid w:val="00951248"/>
    <w:rsid w:val="0095152F"/>
    <w:rsid w:val="00954C49"/>
    <w:rsid w:val="0097099F"/>
    <w:rsid w:val="00971997"/>
    <w:rsid w:val="00971FFC"/>
    <w:rsid w:val="00972618"/>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68C4"/>
    <w:rsid w:val="00A307CD"/>
    <w:rsid w:val="00A40A00"/>
    <w:rsid w:val="00A4142F"/>
    <w:rsid w:val="00A56DF2"/>
    <w:rsid w:val="00A67AB5"/>
    <w:rsid w:val="00A91760"/>
    <w:rsid w:val="00A93B00"/>
    <w:rsid w:val="00A93C21"/>
    <w:rsid w:val="00AA5A1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0842"/>
    <w:rsid w:val="00B53C56"/>
    <w:rsid w:val="00B77EA6"/>
    <w:rsid w:val="00B81598"/>
    <w:rsid w:val="00B841F1"/>
    <w:rsid w:val="00B8422E"/>
    <w:rsid w:val="00B941C6"/>
    <w:rsid w:val="00B944D6"/>
    <w:rsid w:val="00BB4DF0"/>
    <w:rsid w:val="00BC289F"/>
    <w:rsid w:val="00BC38B7"/>
    <w:rsid w:val="00BC5361"/>
    <w:rsid w:val="00BC5460"/>
    <w:rsid w:val="00BC6B50"/>
    <w:rsid w:val="00BD0E25"/>
    <w:rsid w:val="00BF239D"/>
    <w:rsid w:val="00BF5BD6"/>
    <w:rsid w:val="00C03E31"/>
    <w:rsid w:val="00C33D4C"/>
    <w:rsid w:val="00C33E72"/>
    <w:rsid w:val="00C354B2"/>
    <w:rsid w:val="00C35554"/>
    <w:rsid w:val="00C42709"/>
    <w:rsid w:val="00C533CC"/>
    <w:rsid w:val="00C5751C"/>
    <w:rsid w:val="00C60709"/>
    <w:rsid w:val="00C61BFC"/>
    <w:rsid w:val="00C62B85"/>
    <w:rsid w:val="00C65438"/>
    <w:rsid w:val="00C75B3F"/>
    <w:rsid w:val="00C91CBB"/>
    <w:rsid w:val="00CC09B6"/>
    <w:rsid w:val="00CC666F"/>
    <w:rsid w:val="00CD1E3F"/>
    <w:rsid w:val="00CE44F6"/>
    <w:rsid w:val="00CE49DA"/>
    <w:rsid w:val="00CE7B61"/>
    <w:rsid w:val="00CF4EA8"/>
    <w:rsid w:val="00D00095"/>
    <w:rsid w:val="00D0608F"/>
    <w:rsid w:val="00D20620"/>
    <w:rsid w:val="00D26091"/>
    <w:rsid w:val="00D34E7C"/>
    <w:rsid w:val="00D35489"/>
    <w:rsid w:val="00D51276"/>
    <w:rsid w:val="00D64558"/>
    <w:rsid w:val="00D7035F"/>
    <w:rsid w:val="00D70D92"/>
    <w:rsid w:val="00D7711E"/>
    <w:rsid w:val="00D867DE"/>
    <w:rsid w:val="00D925E7"/>
    <w:rsid w:val="00DA65AC"/>
    <w:rsid w:val="00DA799A"/>
    <w:rsid w:val="00DB1913"/>
    <w:rsid w:val="00DC410D"/>
    <w:rsid w:val="00DC68CA"/>
    <w:rsid w:val="00DC7CBA"/>
    <w:rsid w:val="00DD73B7"/>
    <w:rsid w:val="00DE66BB"/>
    <w:rsid w:val="00DF28BC"/>
    <w:rsid w:val="00DF34B9"/>
    <w:rsid w:val="00E01053"/>
    <w:rsid w:val="00E03132"/>
    <w:rsid w:val="00E07ACF"/>
    <w:rsid w:val="00E113B5"/>
    <w:rsid w:val="00E145CE"/>
    <w:rsid w:val="00E149F6"/>
    <w:rsid w:val="00E27941"/>
    <w:rsid w:val="00E331A1"/>
    <w:rsid w:val="00E33202"/>
    <w:rsid w:val="00E336A9"/>
    <w:rsid w:val="00E44183"/>
    <w:rsid w:val="00E50624"/>
    <w:rsid w:val="00E54F57"/>
    <w:rsid w:val="00E568DF"/>
    <w:rsid w:val="00E64269"/>
    <w:rsid w:val="00E726A8"/>
    <w:rsid w:val="00E82267"/>
    <w:rsid w:val="00E9505F"/>
    <w:rsid w:val="00EA010F"/>
    <w:rsid w:val="00EB1008"/>
    <w:rsid w:val="00EC0EE4"/>
    <w:rsid w:val="00ED1B63"/>
    <w:rsid w:val="00ED3C1F"/>
    <w:rsid w:val="00ED420E"/>
    <w:rsid w:val="00EE0D5C"/>
    <w:rsid w:val="00EE2F57"/>
    <w:rsid w:val="00EE5A01"/>
    <w:rsid w:val="00EF4C34"/>
    <w:rsid w:val="00EF77C6"/>
    <w:rsid w:val="00F05438"/>
    <w:rsid w:val="00F1361C"/>
    <w:rsid w:val="00F160C7"/>
    <w:rsid w:val="00F36D8F"/>
    <w:rsid w:val="00F417B1"/>
    <w:rsid w:val="00F418BB"/>
    <w:rsid w:val="00F602DF"/>
    <w:rsid w:val="00F81FD9"/>
    <w:rsid w:val="00F841AA"/>
    <w:rsid w:val="00FA23E8"/>
    <w:rsid w:val="00FA3BFC"/>
    <w:rsid w:val="00FA68AC"/>
    <w:rsid w:val="00FB0F1C"/>
    <w:rsid w:val="00FB2A82"/>
    <w:rsid w:val="00FD2DA0"/>
    <w:rsid w:val="00FD3CC1"/>
    <w:rsid w:val="00FF1E02"/>
    <w:rsid w:val="00FF30B4"/>
    <w:rsid w:val="10C055FF"/>
    <w:rsid w:val="16BB723D"/>
    <w:rsid w:val="240371BF"/>
    <w:rsid w:val="29FD04D3"/>
    <w:rsid w:val="319F7F4E"/>
    <w:rsid w:val="55D30769"/>
    <w:rsid w:val="7B0B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unhideWhenUsed/>
    <w:qFormat/>
    <w:pPr>
      <w:spacing w:before="100" w:beforeAutospacing="1" w:after="100" w:afterAutospacing="1"/>
      <w:jc w:val="left"/>
    </w:pPr>
    <w:rPr>
      <w:rFonts w:ascii="Calibri" w:hAnsi="Calibri"/>
      <w:kern w:val="0"/>
      <w:sz w:val="24"/>
    </w:rPr>
  </w:style>
  <w:style w:type="character" w:styleId="a8">
    <w:name w:val="Strong"/>
    <w:basedOn w:val="a0"/>
    <w:uiPriority w:val="99"/>
    <w:qFormat/>
    <w:rPr>
      <w:b/>
    </w:rPr>
  </w:style>
  <w:style w:type="character" w:styleId="a9">
    <w:name w:val="Hyperlink"/>
    <w:basedOn w:val="a0"/>
    <w:uiPriority w:val="99"/>
    <w:unhideWhenUsed/>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unhideWhenUsed/>
    <w:qFormat/>
    <w:pPr>
      <w:spacing w:before="100" w:beforeAutospacing="1" w:after="100" w:afterAutospacing="1"/>
      <w:jc w:val="left"/>
    </w:pPr>
    <w:rPr>
      <w:rFonts w:ascii="Calibri" w:hAnsi="Calibri"/>
      <w:kern w:val="0"/>
      <w:sz w:val="24"/>
    </w:rPr>
  </w:style>
  <w:style w:type="character" w:styleId="a8">
    <w:name w:val="Strong"/>
    <w:basedOn w:val="a0"/>
    <w:uiPriority w:val="99"/>
    <w:qFormat/>
    <w:rPr>
      <w:b/>
    </w:rPr>
  </w:style>
  <w:style w:type="character" w:styleId="a9">
    <w:name w:val="Hyperlink"/>
    <w:basedOn w:val="a0"/>
    <w:uiPriority w:val="99"/>
    <w:unhideWhenUsed/>
    <w:rPr>
      <w:color w:val="0000FF" w:themeColor="hyperlink"/>
      <w:u w:val="single"/>
    </w:rPr>
  </w:style>
  <w:style w:type="character" w:customStyle="1" w:styleId="HeaderChar">
    <w:name w:val="Header Char"/>
    <w:basedOn w:val="a0"/>
    <w:uiPriority w:val="99"/>
    <w:semiHidden/>
    <w:rPr>
      <w:rFonts w:ascii="Times New Roman" w:hAnsi="Times New Roman"/>
      <w:sz w:val="18"/>
      <w:szCs w:val="18"/>
    </w:rPr>
  </w:style>
  <w:style w:type="character" w:customStyle="1" w:styleId="Char2">
    <w:name w:val="页眉 Char"/>
    <w:link w:val="a6"/>
    <w:uiPriority w:val="99"/>
    <w:semiHidden/>
    <w:locked/>
    <w:rPr>
      <w:sz w:val="18"/>
    </w:rPr>
  </w:style>
  <w:style w:type="character" w:customStyle="1" w:styleId="FooterChar">
    <w:name w:val="Footer Char"/>
    <w:basedOn w:val="a0"/>
    <w:uiPriority w:val="99"/>
    <w:semiHidden/>
    <w:rPr>
      <w:rFonts w:ascii="Times New Roman" w:hAnsi="Times New Roman"/>
      <w:sz w:val="18"/>
      <w:szCs w:val="18"/>
    </w:rPr>
  </w:style>
  <w:style w:type="character" w:customStyle="1" w:styleId="Char1">
    <w:name w:val="页脚 Char"/>
    <w:link w:val="a5"/>
    <w:uiPriority w:val="99"/>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E:\&#25152;&#26377;&#36164;&#26009;\2&#12289;&#20915;&#31639;&#36164;&#26009;\2019&#24180;\&#20915;&#31639;&#20844;&#24320;\&#20915;&#31639;&#20844;&#24320;\&#24037;&#20316;&#31807;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5152;&#26377;&#36164;&#26009;\2&#12289;&#20915;&#31639;&#36164;&#26009;\2019&#24180;\&#20915;&#31639;&#20844;&#24320;\&#20915;&#31639;&#20844;&#24320;\&#24037;&#20316;&#31807;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E:\&#25152;&#26377;&#36164;&#26009;\2&#12289;&#20915;&#31639;&#36164;&#26009;\2019&#24180;\&#20915;&#31639;&#20844;&#24320;\&#20915;&#31639;&#20844;&#24320;\&#24037;&#20316;&#31807;1.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图一</a:t>
            </a:r>
            <a:r>
              <a:rPr lang="en-US" altLang="zh-CN"/>
              <a:t>:</a:t>
            </a:r>
            <a:r>
              <a:rPr lang="zh-CN" altLang="en-US"/>
              <a:t>收支决算总计表动情况图</a:t>
            </a:r>
          </a:p>
        </c:rich>
      </c:tx>
      <c:overlay val="0"/>
    </c:title>
    <c:autoTitleDeleted val="0"/>
    <c:plotArea>
      <c:layout/>
      <c:barChart>
        <c:barDir val="col"/>
        <c:grouping val="clustered"/>
        <c:varyColors val="0"/>
        <c:ser>
          <c:idx val="0"/>
          <c:order val="0"/>
          <c:tx>
            <c:strRef>
              <c:f>Sheet1!$A$2</c:f>
              <c:strCache>
                <c:ptCount val="1"/>
                <c:pt idx="0">
                  <c:v>金额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2017年决算数</c:v>
                </c:pt>
                <c:pt idx="1">
                  <c:v>2018年决算数</c:v>
                </c:pt>
              </c:strCache>
            </c:strRef>
          </c:cat>
          <c:val>
            <c:numRef>
              <c:f>Sheet1!$B$2:$C$2</c:f>
              <c:numCache>
                <c:formatCode>#,##0.00</c:formatCode>
                <c:ptCount val="2"/>
                <c:pt idx="0">
                  <c:v>14976.86</c:v>
                </c:pt>
                <c:pt idx="1">
                  <c:v>15651.87</c:v>
                </c:pt>
              </c:numCache>
            </c:numRef>
          </c:val>
        </c:ser>
        <c:dLbls>
          <c:showLegendKey val="0"/>
          <c:showVal val="0"/>
          <c:showCatName val="0"/>
          <c:showSerName val="0"/>
          <c:showPercent val="0"/>
          <c:showBubbleSize val="0"/>
        </c:dLbls>
        <c:gapWidth val="75"/>
        <c:overlap val="40"/>
        <c:axId val="240988928"/>
        <c:axId val="240990464"/>
      </c:barChart>
      <c:catAx>
        <c:axId val="24098892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0990464"/>
        <c:crosses val="autoZero"/>
        <c:auto val="1"/>
        <c:lblAlgn val="ctr"/>
        <c:lblOffset val="100"/>
        <c:noMultiLvlLbl val="0"/>
      </c:catAx>
      <c:valAx>
        <c:axId val="240990464"/>
        <c:scaling>
          <c:orientation val="minMax"/>
        </c:scaling>
        <c:delete val="0"/>
        <c:axPos val="l"/>
        <c:majorGridlines/>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09889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图二：收入决算结构图</a:t>
            </a:r>
          </a:p>
        </c:rich>
      </c:tx>
      <c:overlay val="0"/>
    </c:title>
    <c:autoTitleDeleted val="0"/>
    <c:plotArea>
      <c:layout/>
      <c:pieChart>
        <c:varyColors val="1"/>
        <c:ser>
          <c:idx val="0"/>
          <c:order val="0"/>
          <c:tx>
            <c:strRef>
              <c:f>Sheet1!$A$33</c:f>
              <c:strCache>
                <c:ptCount val="1"/>
                <c:pt idx="0">
                  <c:v>收入决算结构图</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0"/>
              <c:dLblPos val="bestFit"/>
              <c:showLegendKey val="0"/>
              <c:showVal val="0"/>
              <c:showCatName val="1"/>
              <c:showSerName val="0"/>
              <c:showPercent val="0"/>
              <c:showBubbleSize val="0"/>
              <c:extLst>
                <c:ext xmlns:c15="http://schemas.microsoft.com/office/drawing/2012/chart" uri="{CE6537A1-D6FC-4f65-9D91-7224C49458BB}"/>
              </c:extLst>
            </c:dLbl>
            <c:dLbl>
              <c:idx val="1"/>
              <c:dLblPos val="bestFit"/>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Sheet1!$B$32:$H$32</c:f>
              <c:strCache>
                <c:ptCount val="7"/>
                <c:pt idx="0">
                  <c:v>一般公共预算财政拨款收入</c:v>
                </c:pt>
                <c:pt idx="1">
                  <c:v>其他收入</c:v>
                </c:pt>
                <c:pt idx="2">
                  <c:v>政府性基金预算财政拨款收</c:v>
                </c:pt>
                <c:pt idx="3">
                  <c:v>国有资本经营预算财政拨款收入</c:v>
                </c:pt>
                <c:pt idx="4">
                  <c:v>事业收入</c:v>
                </c:pt>
                <c:pt idx="5">
                  <c:v>经营收入</c:v>
                </c:pt>
                <c:pt idx="6">
                  <c:v>附属单位上缴收入</c:v>
                </c:pt>
              </c:strCache>
            </c:strRef>
          </c:cat>
          <c:val>
            <c:numRef>
              <c:f>Sheet1!$B$33:$H$33</c:f>
              <c:numCache>
                <c:formatCode>General</c:formatCode>
                <c:ptCount val="7"/>
                <c:pt idx="0">
                  <c:v>15642.12</c:v>
                </c:pt>
                <c:pt idx="1">
                  <c:v>9.75</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Sheet1!$A$40</c:f>
              <c:strCache>
                <c:ptCount val="1"/>
                <c:pt idx="0">
                  <c:v>支出决算结构图</c:v>
                </c:pt>
              </c:strCache>
            </c:strRef>
          </c:tx>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Sheet1!$B$39:$F$39</c:f>
              <c:strCache>
                <c:ptCount val="5"/>
                <c:pt idx="0">
                  <c:v>基本支出</c:v>
                </c:pt>
                <c:pt idx="1">
                  <c:v>项目支出</c:v>
                </c:pt>
                <c:pt idx="2">
                  <c:v>上缴上级支出</c:v>
                </c:pt>
                <c:pt idx="3">
                  <c:v>经营支出</c:v>
                </c:pt>
                <c:pt idx="4">
                  <c:v>对附属单位补助支出</c:v>
                </c:pt>
              </c:strCache>
            </c:strRef>
          </c:cat>
          <c:val>
            <c:numRef>
              <c:f>Sheet1!$B$40:$F$40</c:f>
              <c:numCache>
                <c:formatCode>General</c:formatCode>
                <c:ptCount val="5"/>
                <c:pt idx="0">
                  <c:v>6861.14</c:v>
                </c:pt>
                <c:pt idx="1">
                  <c:v>5672.36</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图四：财政拨款收、支决算总计变动情况图</a:t>
            </a:r>
          </a:p>
        </c:rich>
      </c:tx>
      <c:overlay val="0"/>
    </c:title>
    <c:autoTitleDeleted val="0"/>
    <c:plotArea>
      <c:layout/>
      <c:barChart>
        <c:barDir val="col"/>
        <c:grouping val="clustered"/>
        <c:varyColors val="0"/>
        <c:ser>
          <c:idx val="0"/>
          <c:order val="0"/>
          <c:tx>
            <c:strRef>
              <c:f>Sheet1!$A$50</c:f>
              <c:strCache>
                <c:ptCount val="1"/>
                <c:pt idx="0">
                  <c:v>金额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Sheet1!$B$49:$C$49</c:f>
              <c:strCache>
                <c:ptCount val="2"/>
                <c:pt idx="0">
                  <c:v>2017年决算数</c:v>
                </c:pt>
                <c:pt idx="1">
                  <c:v>2018年决算数</c:v>
                </c:pt>
              </c:strCache>
            </c:strRef>
          </c:cat>
          <c:val>
            <c:numRef>
              <c:f>Sheet1!$B$50:$C$50</c:f>
              <c:numCache>
                <c:formatCode>General</c:formatCode>
                <c:ptCount val="2"/>
                <c:pt idx="0">
                  <c:v>11340.15</c:v>
                </c:pt>
                <c:pt idx="1">
                  <c:v>12327.02</c:v>
                </c:pt>
              </c:numCache>
            </c:numRef>
          </c:val>
        </c:ser>
        <c:dLbls>
          <c:showLegendKey val="0"/>
          <c:showVal val="0"/>
          <c:showCatName val="0"/>
          <c:showSerName val="0"/>
          <c:showPercent val="0"/>
          <c:showBubbleSize val="0"/>
        </c:dLbls>
        <c:gapWidth val="150"/>
        <c:axId val="241020288"/>
        <c:axId val="241022080"/>
      </c:barChart>
      <c:catAx>
        <c:axId val="241020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1022080"/>
        <c:crosses val="autoZero"/>
        <c:auto val="1"/>
        <c:lblAlgn val="ctr"/>
        <c:lblOffset val="100"/>
        <c:noMultiLvlLbl val="0"/>
      </c:catAx>
      <c:valAx>
        <c:axId val="241022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10202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图四：财政拨款收、支决算总计变动情况图</a:t>
            </a:r>
          </a:p>
        </c:rich>
      </c:tx>
      <c:overlay val="0"/>
    </c:title>
    <c:autoTitleDeleted val="0"/>
    <c:plotArea>
      <c:layout/>
      <c:barChart>
        <c:barDir val="col"/>
        <c:grouping val="clustered"/>
        <c:varyColors val="0"/>
        <c:ser>
          <c:idx val="0"/>
          <c:order val="0"/>
          <c:tx>
            <c:strRef>
              <c:f>Sheet1!$A$50</c:f>
              <c:strCache>
                <c:ptCount val="1"/>
                <c:pt idx="0">
                  <c:v>金额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Sheet1!$B$49:$C$49</c:f>
              <c:strCache>
                <c:ptCount val="2"/>
                <c:pt idx="0">
                  <c:v>2017年决算数</c:v>
                </c:pt>
                <c:pt idx="1">
                  <c:v>2018年决算数</c:v>
                </c:pt>
              </c:strCache>
            </c:strRef>
          </c:cat>
          <c:val>
            <c:numRef>
              <c:f>Sheet1!$B$50:$C$50</c:f>
              <c:numCache>
                <c:formatCode>General</c:formatCode>
                <c:ptCount val="2"/>
                <c:pt idx="0">
                  <c:v>11340.15</c:v>
                </c:pt>
                <c:pt idx="1">
                  <c:v>12327.02</c:v>
                </c:pt>
              </c:numCache>
            </c:numRef>
          </c:val>
        </c:ser>
        <c:dLbls>
          <c:showLegendKey val="0"/>
          <c:showVal val="0"/>
          <c:showCatName val="0"/>
          <c:showSerName val="0"/>
          <c:showPercent val="0"/>
          <c:showBubbleSize val="0"/>
        </c:dLbls>
        <c:gapWidth val="150"/>
        <c:axId val="240469504"/>
        <c:axId val="240471040"/>
      </c:barChart>
      <c:catAx>
        <c:axId val="240469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0471040"/>
        <c:crosses val="autoZero"/>
        <c:auto val="1"/>
        <c:lblAlgn val="ctr"/>
        <c:lblOffset val="100"/>
        <c:noMultiLvlLbl val="0"/>
      </c:catAx>
      <c:valAx>
        <c:axId val="240471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046950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图五：一般公共预算财政拨款收、支决算   总计变动情况图</a:t>
            </a:r>
          </a:p>
        </c:rich>
      </c:tx>
      <c:overlay val="0"/>
    </c:title>
    <c:autoTitleDeleted val="0"/>
    <c:plotArea>
      <c:layout/>
      <c:barChart>
        <c:barDir val="col"/>
        <c:grouping val="clustered"/>
        <c:varyColors val="0"/>
        <c:ser>
          <c:idx val="0"/>
          <c:order val="0"/>
          <c:tx>
            <c:strRef>
              <c:f>Sheet1!$A$50</c:f>
              <c:strCache>
                <c:ptCount val="1"/>
                <c:pt idx="0">
                  <c:v>金额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Sheet1!$B$49:$C$49</c:f>
              <c:strCache>
                <c:ptCount val="2"/>
                <c:pt idx="0">
                  <c:v>2017年决算数</c:v>
                </c:pt>
                <c:pt idx="1">
                  <c:v>2018年决算数</c:v>
                </c:pt>
              </c:strCache>
            </c:strRef>
          </c:cat>
          <c:val>
            <c:numRef>
              <c:f>Sheet1!$B$50:$C$50</c:f>
              <c:numCache>
                <c:formatCode>General</c:formatCode>
                <c:ptCount val="2"/>
                <c:pt idx="0">
                  <c:v>11340.15</c:v>
                </c:pt>
                <c:pt idx="1">
                  <c:v>12327.02</c:v>
                </c:pt>
              </c:numCache>
            </c:numRef>
          </c:val>
        </c:ser>
        <c:dLbls>
          <c:showLegendKey val="0"/>
          <c:showVal val="0"/>
          <c:showCatName val="0"/>
          <c:showSerName val="0"/>
          <c:showPercent val="0"/>
          <c:showBubbleSize val="0"/>
        </c:dLbls>
        <c:gapWidth val="150"/>
        <c:axId val="242351488"/>
        <c:axId val="245027968"/>
      </c:barChart>
      <c:catAx>
        <c:axId val="2423514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5027968"/>
        <c:crosses val="autoZero"/>
        <c:auto val="1"/>
        <c:lblAlgn val="ctr"/>
        <c:lblOffset val="100"/>
        <c:noMultiLvlLbl val="0"/>
      </c:catAx>
      <c:valAx>
        <c:axId val="245027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35148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图</a:t>
            </a:r>
            <a:r>
              <a:rPr lang="en-US" altLang="zh-CN"/>
              <a:t>6</a:t>
            </a:r>
            <a:r>
              <a:rPr lang="zh-CN" altLang="en-US"/>
              <a:t>：一般公共预算财政拨款支出决算     结构图</a:t>
            </a:r>
          </a:p>
        </c:rich>
      </c:tx>
      <c:layout>
        <c:manualLayout>
          <c:xMode val="edge"/>
          <c:yMode val="edge"/>
          <c:x val="0.113994000749906"/>
          <c:y val="4.8338368580060402E-2"/>
        </c:manualLayout>
      </c:layout>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Sheet1!$B$69:$G$69</c:f>
              <c:strCache>
                <c:ptCount val="6"/>
                <c:pt idx="0">
                  <c:v>般公共服务支出</c:v>
                </c:pt>
                <c:pt idx="1">
                  <c:v>教育支出</c:v>
                </c:pt>
                <c:pt idx="2">
                  <c:v>社会保障和就业支出</c:v>
                </c:pt>
                <c:pt idx="3">
                  <c:v>医疗卫生和计划生育支出</c:v>
                </c:pt>
                <c:pt idx="4">
                  <c:v>住房保障支出</c:v>
                </c:pt>
                <c:pt idx="5">
                  <c:v>其他支出</c:v>
                </c:pt>
              </c:strCache>
            </c:strRef>
          </c:cat>
          <c:val>
            <c:numRef>
              <c:f>Sheet1!$B$70:$G$70</c:f>
              <c:numCache>
                <c:formatCode>0.00_ </c:formatCode>
                <c:ptCount val="6"/>
                <c:pt idx="0">
                  <c:v>9517.6</c:v>
                </c:pt>
                <c:pt idx="1">
                  <c:v>464.89</c:v>
                </c:pt>
                <c:pt idx="2">
                  <c:v>1280.78</c:v>
                </c:pt>
                <c:pt idx="3">
                  <c:v>369.19</c:v>
                </c:pt>
                <c:pt idx="4">
                  <c:v>688.07</c:v>
                </c:pt>
                <c:pt idx="5">
                  <c:v>6.49</c:v>
                </c:pt>
              </c:numCache>
            </c:numRef>
          </c:val>
        </c:ser>
        <c:dLbls>
          <c:showLegendKey val="0"/>
          <c:showVal val="0"/>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Sheet1!$B$80:$D$80</c:f>
              <c:strCache>
                <c:ptCount val="3"/>
                <c:pt idx="0">
                  <c:v>因公出国（境）费支出</c:v>
                </c:pt>
                <c:pt idx="1">
                  <c:v>公务用车购置及运行维护费支出</c:v>
                </c:pt>
                <c:pt idx="2">
                  <c:v>公务接待费支出</c:v>
                </c:pt>
              </c:strCache>
            </c:strRef>
          </c:cat>
          <c:val>
            <c:numRef>
              <c:f>Sheet1!$B$81:$D$81</c:f>
              <c:numCache>
                <c:formatCode>General</c:formatCode>
                <c:ptCount val="3"/>
                <c:pt idx="0">
                  <c:v>24.74</c:v>
                </c:pt>
                <c:pt idx="1">
                  <c:v>183.48</c:v>
                </c:pt>
                <c:pt idx="2">
                  <c:v>13.17</c:v>
                </c:pt>
              </c:numCache>
            </c:numRef>
          </c:val>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2E676-2F76-4748-95C8-0FD03641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2682</Words>
  <Characters>15294</Characters>
  <Application>Microsoft Office Word</Application>
  <DocSecurity>0</DocSecurity>
  <Lines>127</Lines>
  <Paragraphs>35</Paragraphs>
  <ScaleCrop>false</ScaleCrop>
  <Company>四川省财政厅</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lenovo</cp:lastModifiedBy>
  <cp:revision>6</cp:revision>
  <cp:lastPrinted>2019-08-01T00:48:00Z</cp:lastPrinted>
  <dcterms:created xsi:type="dcterms:W3CDTF">2021-06-16T02:02:00Z</dcterms:created>
  <dcterms:modified xsi:type="dcterms:W3CDTF">2021-06-16T06:57:00Z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