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23254"/>
      <w:bookmarkStart w:id="3" w:name="_Toc15377425"/>
      <w:bookmarkStart w:id="4" w:name="_Toc15378441"/>
      <w:bookmarkStart w:id="5" w:name="_Toc15396597"/>
      <w:bookmarkStart w:id="6" w:name="_Toc15377193"/>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adjustRightInd w:val="0"/>
        <w:snapToGrid w:val="0"/>
        <w:spacing w:line="360" w:lineRule="auto"/>
        <w:jc w:val="center"/>
        <w:outlineLvl w:val="0"/>
        <w:rPr>
          <w:rFonts w:ascii="方正小标宋简体" w:hAnsi="宋体" w:eastAsia="方正小标宋简体"/>
          <w:color w:val="000000"/>
          <w:sz w:val="72"/>
          <w:szCs w:val="72"/>
        </w:rPr>
      </w:pPr>
      <w:bookmarkStart w:id="7" w:name="_Toc19421"/>
      <w:bookmarkStart w:id="8" w:name="_Toc15377194"/>
      <w:bookmarkStart w:id="9" w:name="_Toc15396476"/>
      <w:bookmarkStart w:id="10" w:name="_Toc15396598"/>
      <w:bookmarkStart w:id="11" w:name="_Toc15378442"/>
      <w:bookmarkStart w:id="12" w:name="_Toc15377426"/>
      <w:r>
        <w:rPr>
          <w:rFonts w:hint="eastAsia" w:ascii="方正小标宋简体" w:hAnsi="宋体" w:eastAsia="方正小标宋简体"/>
          <w:color w:val="000000"/>
          <w:sz w:val="72"/>
          <w:szCs w:val="72"/>
        </w:rPr>
        <w:t>四川省</w:t>
      </w:r>
      <w:bookmarkEnd w:id="0"/>
      <w:bookmarkStart w:id="13" w:name="_Toc15306268"/>
      <w:r>
        <w:rPr>
          <w:rFonts w:hint="eastAsia" w:ascii="方正小标宋简体" w:hAnsi="宋体" w:eastAsia="方正小标宋简体"/>
          <w:color w:val="000000"/>
          <w:sz w:val="72"/>
          <w:szCs w:val="72"/>
          <w:lang w:eastAsia="zh-CN"/>
        </w:rPr>
        <w:t>人大常委会办公厅</w:t>
      </w:r>
      <w:r>
        <w:rPr>
          <w:rFonts w:hint="eastAsia" w:ascii="方正小标宋简体" w:hAnsi="宋体" w:eastAsia="方正小标宋简体"/>
          <w:color w:val="000000"/>
          <w:sz w:val="72"/>
          <w:szCs w:val="72"/>
        </w:rPr>
        <w:t>部门决算</w:t>
      </w:r>
      <w:bookmarkEnd w:id="7"/>
      <w:bookmarkEnd w:id="8"/>
      <w:bookmarkEnd w:id="9"/>
      <w:bookmarkEnd w:id="10"/>
      <w:bookmarkEnd w:id="11"/>
      <w:bookmarkEnd w:id="12"/>
      <w:bookmarkEnd w:id="13"/>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0"/>
      </w:pPr>
      <w:r>
        <w:rPr>
          <w:rFonts w:hint="eastAsia"/>
        </w:rPr>
        <w:t>公开时间：2020年9月3日</w:t>
      </w:r>
    </w:p>
    <w:p/>
    <w:p>
      <w:pPr>
        <w:pStyle w:val="10"/>
        <w:adjustRightInd w:val="0"/>
        <w:snapToGrid w:val="0"/>
        <w:spacing w:before="0" w:line="44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第一部分 部门概况</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3</w:t>
      </w:r>
    </w:p>
    <w:p>
      <w:pPr>
        <w:pStyle w:val="10"/>
        <w:adjustRightInd w:val="0"/>
        <w:snapToGrid w:val="0"/>
        <w:spacing w:before="0"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一、基本职能及主要工作</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3</w:t>
      </w:r>
    </w:p>
    <w:p>
      <w:pPr>
        <w:pStyle w:val="10"/>
        <w:adjustRightInd w:val="0"/>
        <w:snapToGrid w:val="0"/>
        <w:spacing w:before="0"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二、机构设置</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5</w:t>
      </w:r>
    </w:p>
    <w:p>
      <w:pPr>
        <w:pStyle w:val="10"/>
        <w:adjustRightInd w:val="0"/>
        <w:snapToGrid w:val="0"/>
        <w:spacing w:before="0" w:line="44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第二部分 2019年度部门决算情况说明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6</w:t>
      </w:r>
    </w:p>
    <w:p>
      <w:pPr>
        <w:pStyle w:val="10"/>
        <w:adjustRightInd w:val="0"/>
        <w:snapToGrid w:val="0"/>
        <w:spacing w:before="0"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一、收入支出决算总体情况说明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6</w:t>
      </w:r>
    </w:p>
    <w:p>
      <w:pPr>
        <w:pStyle w:val="10"/>
        <w:adjustRightInd w:val="0"/>
        <w:snapToGrid w:val="0"/>
        <w:spacing w:before="0"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6</w:t>
      </w:r>
    </w:p>
    <w:p>
      <w:pPr>
        <w:pStyle w:val="10"/>
        <w:adjustRightInd w:val="0"/>
        <w:snapToGrid w:val="0"/>
        <w:spacing w:before="0" w:line="440" w:lineRule="exact"/>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三、支出决算情况说明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7</w:t>
      </w:r>
    </w:p>
    <w:p>
      <w:pPr>
        <w:pStyle w:val="10"/>
        <w:adjustRightInd w:val="0"/>
        <w:snapToGrid w:val="0"/>
        <w:spacing w:before="0"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四、财政拨款收入支出决算总体情况说明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8</w:t>
      </w:r>
    </w:p>
    <w:p>
      <w:pPr>
        <w:pStyle w:val="10"/>
        <w:adjustRightInd w:val="0"/>
        <w:snapToGrid w:val="0"/>
        <w:spacing w:before="0"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五、一般公共预算财政拨款支出决算情况说明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9</w:t>
      </w:r>
    </w:p>
    <w:p>
      <w:pPr>
        <w:pStyle w:val="10"/>
        <w:adjustRightInd w:val="0"/>
        <w:snapToGrid w:val="0"/>
        <w:spacing w:before="0" w:line="440" w:lineRule="exact"/>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六、一般公共预算财政拨款基本支出决算情况说明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12</w:t>
      </w:r>
    </w:p>
    <w:p>
      <w:pPr>
        <w:pStyle w:val="10"/>
        <w:adjustRightInd w:val="0"/>
        <w:snapToGrid w:val="0"/>
        <w:spacing w:before="0" w:line="440" w:lineRule="exact"/>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七、“三公”经费财政拨款支出决算情况说明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12</w:t>
      </w:r>
    </w:p>
    <w:p>
      <w:pPr>
        <w:pStyle w:val="10"/>
        <w:adjustRightInd w:val="0"/>
        <w:snapToGrid w:val="0"/>
        <w:spacing w:before="0"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八、政府性基金预算支出决算情况说明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15</w:t>
      </w:r>
    </w:p>
    <w:p>
      <w:pPr>
        <w:pStyle w:val="10"/>
        <w:adjustRightInd w:val="0"/>
        <w:snapToGrid w:val="0"/>
        <w:spacing w:before="0" w:line="440" w:lineRule="exact"/>
        <w:jc w:val="left"/>
        <w:rPr>
          <w:rFonts w:hint="default" w:asciiTheme="minorEastAsia" w:hAnsiTheme="minorEastAsia" w:eastAsiaTheme="minorEastAsia" w:cstheme="minorEastAsia"/>
          <w:sz w:val="24"/>
          <w:lang w:val="en-US"/>
        </w:rPr>
      </w:pPr>
      <w:r>
        <w:rPr>
          <w:rFonts w:hint="eastAsia" w:asciiTheme="minorEastAsia" w:hAnsiTheme="minorEastAsia" w:eastAsiaTheme="minorEastAsia" w:cstheme="minorEastAsia"/>
          <w:sz w:val="24"/>
        </w:rPr>
        <w:t>九、 国有资本经营预算支出决算情况说明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15</w:t>
      </w:r>
    </w:p>
    <w:p>
      <w:pPr>
        <w:pStyle w:val="10"/>
        <w:adjustRightInd w:val="0"/>
        <w:snapToGrid w:val="0"/>
        <w:spacing w:before="0"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十、其他重要事项的情况说明</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15</w:t>
      </w:r>
    </w:p>
    <w:p>
      <w:pPr>
        <w:pStyle w:val="10"/>
        <w:adjustRightInd w:val="0"/>
        <w:snapToGrid w:val="0"/>
        <w:spacing w:before="0"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第三部分 名词解释</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_Toc20901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24</w:t>
      </w:r>
      <w:r>
        <w:rPr>
          <w:rFonts w:hint="eastAsia" w:asciiTheme="minorEastAsia" w:hAnsiTheme="minorEastAsia" w:eastAsiaTheme="minorEastAsia" w:cstheme="minorEastAsia"/>
          <w:sz w:val="24"/>
        </w:rPr>
        <w:fldChar w:fldCharType="end"/>
      </w:r>
    </w:p>
    <w:p>
      <w:pPr>
        <w:pStyle w:val="10"/>
        <w:adjustRightInd w:val="0"/>
        <w:snapToGrid w:val="0"/>
        <w:spacing w:before="0"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第四部分 附件</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29</w:t>
      </w:r>
    </w:p>
    <w:p>
      <w:pPr>
        <w:pStyle w:val="10"/>
        <w:adjustRightInd w:val="0"/>
        <w:snapToGrid w:val="0"/>
        <w:spacing w:before="0" w:line="440" w:lineRule="exact"/>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附件1</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lang w:val="en-US" w:eastAsia="zh-CN"/>
        </w:rPr>
        <w:t>29</w:t>
      </w:r>
    </w:p>
    <w:p>
      <w:pPr>
        <w:pStyle w:val="10"/>
        <w:adjustRightInd w:val="0"/>
        <w:snapToGrid w:val="0"/>
        <w:spacing w:before="0" w:line="440" w:lineRule="exact"/>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第五部分 附表</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fldChar w:fldCharType="begin"/>
      </w:r>
      <w:r>
        <w:rPr>
          <w:rFonts w:hint="eastAsia" w:asciiTheme="minorEastAsia" w:hAnsiTheme="minorEastAsia" w:eastAsiaTheme="minorEastAsia" w:cstheme="minorEastAsia"/>
          <w:sz w:val="24"/>
        </w:rPr>
        <w:instrText xml:space="preserve"> PAGEREF _Toc10089 </w:instrText>
      </w:r>
      <w:r>
        <w:rPr>
          <w:rFonts w:hint="eastAsia"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40</w:t>
      </w:r>
      <w:r>
        <w:rPr>
          <w:rFonts w:hint="eastAsia" w:asciiTheme="minorEastAsia" w:hAnsiTheme="minorEastAsia" w:eastAsiaTheme="minorEastAsia" w:cstheme="minorEastAsia"/>
          <w:sz w:val="24"/>
        </w:rPr>
        <w:fldChar w:fldCharType="end"/>
      </w:r>
    </w:p>
    <w:sdt>
      <w:sdtPr>
        <w:rPr>
          <w:rFonts w:hint="eastAsia" w:asciiTheme="minorEastAsia" w:hAnsiTheme="minorEastAsia" w:eastAsiaTheme="minorEastAsia" w:cstheme="minorEastAsia"/>
          <w:sz w:val="24"/>
          <w:lang w:val="en-US" w:eastAsia="zh-CN"/>
        </w:rPr>
        <w:id w:val="147460278"/>
        <w:showingPlcHdr/>
        <w15:color w:val="DBDBDB"/>
        <w:docPartObj>
          <w:docPartGallery w:val="Table of Contents"/>
          <w:docPartUnique/>
        </w:docPartObj>
      </w:sdtPr>
      <w:sdtEndPr>
        <w:rPr>
          <w:rFonts w:hint="eastAsia" w:asciiTheme="minorEastAsia" w:hAnsiTheme="minorEastAsia" w:eastAsiaTheme="minorEastAsia" w:cstheme="minorEastAsia"/>
          <w:sz w:val="24"/>
          <w:lang w:val="en-US" w:eastAsia="zh-CN"/>
        </w:rPr>
      </w:sdtEndPr>
      <w:sdtContent>
        <w:p>
          <w:pPr>
            <w:pStyle w:val="10"/>
            <w:adjustRightInd w:val="0"/>
            <w:snapToGrid w:val="0"/>
            <w:spacing w:before="0" w:line="440" w:lineRule="exact"/>
            <w:jc w:val="left"/>
            <w:rPr>
              <w:rFonts w:hint="eastAsia" w:asciiTheme="minorEastAsia" w:hAnsiTheme="minorEastAsia" w:eastAsiaTheme="minorEastAsia" w:cstheme="minorEastAsia"/>
              <w:sz w:val="24"/>
            </w:rPr>
          </w:pPr>
        </w:p>
      </w:sdtContent>
    </w:sdt>
    <w:p>
      <w:pPr>
        <w:pStyle w:val="2"/>
        <w:jc w:val="center"/>
        <w:outlineLvl w:val="9"/>
        <w:rPr>
          <w:rFonts w:hint="eastAsia" w:ascii="黑体" w:hAnsi="黑体" w:eastAsia="黑体"/>
          <w:b w:val="0"/>
        </w:rPr>
      </w:pPr>
      <w:bookmarkStart w:id="14" w:name="_Toc15377196"/>
      <w:bookmarkStart w:id="15" w:name="_Toc15396599"/>
    </w:p>
    <w:p>
      <w:pPr>
        <w:rPr>
          <w:rFonts w:hint="eastAsia"/>
        </w:rPr>
      </w:pPr>
    </w:p>
    <w:p>
      <w:pPr>
        <w:pStyle w:val="2"/>
        <w:ind w:firstLine="2200" w:firstLineChars="500"/>
        <w:jc w:val="both"/>
        <w:rPr>
          <w:rStyle w:val="26"/>
          <w:rFonts w:ascii="黑体" w:hAnsi="黑体" w:eastAsia="黑体"/>
          <w:b/>
          <w:bCs w:val="0"/>
        </w:rPr>
      </w:pPr>
      <w:bookmarkStart w:id="16" w:name="_Toc10357"/>
      <w:r>
        <w:rPr>
          <w:rFonts w:hint="eastAsia" w:ascii="黑体" w:hAnsi="黑体" w:eastAsia="黑体"/>
          <w:b w:val="0"/>
        </w:rPr>
        <w:t xml:space="preserve">第一部分 </w:t>
      </w:r>
      <w:r>
        <w:rPr>
          <w:rStyle w:val="26"/>
          <w:rFonts w:hint="eastAsia" w:ascii="黑体" w:hAnsi="黑体" w:eastAsia="黑体"/>
          <w:b w:val="0"/>
          <w:bCs w:val="0"/>
        </w:rPr>
        <w:t>部门概况</w:t>
      </w:r>
      <w:bookmarkEnd w:id="14"/>
      <w:bookmarkEnd w:id="15"/>
      <w:bookmarkEnd w:id="16"/>
    </w:p>
    <w:p>
      <w:pPr>
        <w:widowControl/>
        <w:jc w:val="left"/>
        <w:rPr>
          <w:rFonts w:ascii="黑体" w:eastAsia="黑体"/>
          <w:color w:val="000000"/>
          <w:sz w:val="32"/>
          <w:szCs w:val="32"/>
        </w:rPr>
      </w:pPr>
    </w:p>
    <w:p>
      <w:pPr>
        <w:pStyle w:val="3"/>
        <w:rPr>
          <w:rStyle w:val="27"/>
          <w:rFonts w:ascii="仿宋" w:hAnsi="仿宋" w:eastAsia="仿宋"/>
          <w:b w:val="0"/>
          <w:bCs w:val="0"/>
        </w:rPr>
      </w:pPr>
      <w:bookmarkStart w:id="17" w:name="_Toc15396600"/>
      <w:bookmarkStart w:id="18"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7"/>
      <w:bookmarkEnd w:id="18"/>
    </w:p>
    <w:p>
      <w:pPr>
        <w:keepNext w:val="0"/>
        <w:keepLines w:val="0"/>
        <w:pageBreakBefore w:val="0"/>
        <w:widowControl w:val="0"/>
        <w:kinsoku/>
        <w:wordWrap/>
        <w:overflowPunct/>
        <w:topLinePunct w:val="0"/>
        <w:autoSpaceDE/>
        <w:autoSpaceDN/>
        <w:bidi w:val="0"/>
        <w:adjustRightInd/>
        <w:snapToGrid w:val="0"/>
        <w:spacing w:before="157" w:beforeLines="50" w:line="520" w:lineRule="exact"/>
        <w:ind w:firstLine="643" w:firstLineChars="200"/>
        <w:textAlignment w:val="auto"/>
        <w:rPr>
          <w:rFonts w:hint="eastAsia" w:ascii="仿宋" w:hAnsi="仿宋" w:eastAsia="仿宋"/>
          <w:b/>
          <w:bCs w:val="0"/>
          <w:color w:val="000000"/>
          <w:sz w:val="32"/>
          <w:szCs w:val="32"/>
        </w:rPr>
      </w:pPr>
      <w:bookmarkStart w:id="19" w:name="_Toc15378445"/>
      <w:bookmarkStart w:id="20" w:name="_Toc15377198"/>
      <w:r>
        <w:rPr>
          <w:rFonts w:hint="eastAsia" w:ascii="仿宋" w:hAnsi="仿宋" w:eastAsia="仿宋"/>
          <w:b/>
          <w:bCs w:val="0"/>
          <w:color w:val="000000"/>
          <w:sz w:val="32"/>
          <w:szCs w:val="32"/>
        </w:rPr>
        <w:t>（一）主要职能。</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 w:hAnsi="仿宋" w:eastAsia="仿宋"/>
          <w:bCs/>
          <w:color w:val="000000"/>
          <w:sz w:val="32"/>
          <w:szCs w:val="32"/>
          <w:lang w:eastAsia="zh-CN"/>
        </w:rPr>
        <w:t>按</w:t>
      </w:r>
      <w:r>
        <w:rPr>
          <w:rFonts w:hint="eastAsia" w:ascii="仿宋" w:hAnsi="仿宋" w:eastAsia="仿宋"/>
          <w:bCs/>
          <w:color w:val="000000"/>
          <w:sz w:val="32"/>
          <w:szCs w:val="32"/>
        </w:rPr>
        <w:t>照省政府批准的三定方案</w:t>
      </w:r>
      <w:bookmarkEnd w:id="19"/>
      <w:bookmarkEnd w:id="20"/>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rPr>
        <w:t>四川省人大常委会办公厅是四川省人大常委会的办事工作机构，主要职责是：</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承担省人民代表大会会议、常委会会议、常委会党组会议、常委会主任会议和秘书长会议、机关党组会议的会务工作及会议决定事项的督办工作。</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负责常委会组成人员视察和常委会执法检查的有关工作。</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负责省人大及其常委会的文电、档案、保密、文印工作；负</w:t>
      </w:r>
      <w:r>
        <w:rPr>
          <w:rFonts w:hint="eastAsia" w:ascii="仿宋_GB2312" w:hAnsi="仿宋" w:eastAsia="仿宋_GB2312"/>
          <w:b w:val="0"/>
          <w:bCs w:val="0"/>
          <w:sz w:val="32"/>
          <w:szCs w:val="32"/>
          <w:lang w:eastAsia="zh-CN"/>
        </w:rPr>
        <w:t>责</w:t>
      </w:r>
      <w:r>
        <w:rPr>
          <w:rFonts w:hint="eastAsia" w:ascii="仿宋_GB2312" w:hAnsi="仿宋" w:eastAsia="仿宋_GB2312"/>
          <w:b w:val="0"/>
          <w:bCs w:val="0"/>
          <w:sz w:val="32"/>
          <w:szCs w:val="32"/>
        </w:rPr>
        <w:t>常委会机关信息网络建设和办公自动化建设；负责编辑出版《四川省人大常委会公报》。</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受主任会议委托，拟订有关议案草案。</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承办省人大常委会同各市、州、县人大常委会联系的有关工作。</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负责省人大常委会的新闻发布会和宣传工作，组织对省人民代表大会、常委会会议、常委会主任会议以及对民主法制建设、人大制度、人大工作的宣传报道。受常委会委托，负责联系宣传新闻部门和常委会机关刊物，分管《人民权力报》和《民主法制建设》杂志。</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负责省人大机关的机构编制、人事管理、干部培训工作及离退休人员的管理服务工作。</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负责省人大机关、锦江大礼堂的安全保卫和管理工作。</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协办全国人大常委会领导同志来川视察的接待工作，承办兄弟省(区、市)人大常委会领导同志来川考察的接待工作。</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负责省人大机关的财务管理、国有资产管理工作。</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rPr>
      </w:pPr>
      <w:r>
        <w:rPr>
          <w:rFonts w:hint="eastAsia" w:ascii="仿宋_GB2312" w:hAnsi="仿宋" w:eastAsia="仿宋_GB2312"/>
          <w:b w:val="0"/>
          <w:bCs w:val="0"/>
          <w:sz w:val="32"/>
          <w:szCs w:val="32"/>
        </w:rPr>
        <w:t>受省人大常委会、常委会党组会议、常委会主任会议、机关党组会议、秘书长会议和常委会主任、副主任、秘书长的委托，综合、协调常委会及专门委员会办事工作机构的工作。</w:t>
      </w:r>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ascii="仿宋" w:hAnsi="仿宋" w:eastAsia="仿宋"/>
          <w:bCs/>
          <w:color w:val="000000"/>
          <w:sz w:val="32"/>
          <w:szCs w:val="32"/>
        </w:rPr>
      </w:pPr>
      <w:r>
        <w:rPr>
          <w:rFonts w:hint="eastAsia" w:ascii="仿宋_GB2312" w:hAnsi="仿宋" w:eastAsia="仿宋_GB2312"/>
          <w:b w:val="0"/>
          <w:bCs w:val="0"/>
          <w:sz w:val="32"/>
          <w:szCs w:val="32"/>
        </w:rPr>
        <w:t>承办省人大常委会、常委会党组会议、常委会主任会议、机关党组会议、秘书长会议和常委会主任、副主任、秘书长、副秘书长交办的有关工作。</w:t>
      </w:r>
    </w:p>
    <w:p>
      <w:pPr>
        <w:keepNext w:val="0"/>
        <w:keepLines w:val="0"/>
        <w:pageBreakBefore w:val="0"/>
        <w:widowControl w:val="0"/>
        <w:kinsoku/>
        <w:wordWrap/>
        <w:overflowPunct/>
        <w:topLinePunct w:val="0"/>
        <w:autoSpaceDE/>
        <w:autoSpaceDN/>
        <w:bidi w:val="0"/>
        <w:adjustRightInd/>
        <w:snapToGrid w:val="0"/>
        <w:spacing w:before="157" w:beforeLines="50" w:line="520" w:lineRule="exact"/>
        <w:ind w:firstLine="643" w:firstLineChars="200"/>
        <w:textAlignment w:val="auto"/>
        <w:rPr>
          <w:rFonts w:hint="eastAsia" w:ascii="仿宋_GB2312" w:hAnsi="仿宋" w:eastAsia="仿宋_GB2312"/>
          <w:b/>
          <w:bCs w:val="0"/>
          <w:sz w:val="32"/>
          <w:szCs w:val="32"/>
        </w:rPr>
      </w:pPr>
      <w:bookmarkStart w:id="21" w:name="_Toc15378446"/>
      <w:bookmarkStart w:id="22" w:name="_Toc15377199"/>
      <w:r>
        <w:rPr>
          <w:rFonts w:hint="eastAsia" w:ascii="仿宋" w:hAnsi="仿宋" w:eastAsia="仿宋"/>
          <w:b/>
          <w:bCs w:val="0"/>
          <w:color w:val="000000"/>
          <w:sz w:val="32"/>
          <w:szCs w:val="32"/>
        </w:rPr>
        <w:t>（二）</w:t>
      </w:r>
      <w:r>
        <w:rPr>
          <w:rFonts w:ascii="仿宋" w:hAnsi="仿宋" w:eastAsia="仿宋"/>
          <w:b/>
          <w:bCs w:val="0"/>
          <w:color w:val="000000"/>
          <w:sz w:val="32"/>
          <w:szCs w:val="32"/>
        </w:rPr>
        <w:t>201</w:t>
      </w:r>
      <w:r>
        <w:rPr>
          <w:rFonts w:hint="eastAsia" w:ascii="仿宋" w:hAnsi="仿宋" w:eastAsia="仿宋"/>
          <w:b/>
          <w:bCs w:val="0"/>
          <w:color w:val="000000"/>
          <w:sz w:val="32"/>
          <w:szCs w:val="32"/>
        </w:rPr>
        <w:t>9年重点工作完成情况。</w:t>
      </w:r>
      <w:bookmarkEnd w:id="21"/>
      <w:bookmarkEnd w:id="22"/>
    </w:p>
    <w:p>
      <w:pPr>
        <w:keepNext w:val="0"/>
        <w:keepLines w:val="0"/>
        <w:pageBreakBefore w:val="0"/>
        <w:widowControl w:val="0"/>
        <w:kinsoku/>
        <w:wordWrap/>
        <w:overflowPunct/>
        <w:topLinePunct w:val="0"/>
        <w:autoSpaceDE/>
        <w:autoSpaceDN/>
        <w:bidi w:val="0"/>
        <w:adjustRightInd/>
        <w:snapToGrid w:val="0"/>
        <w:spacing w:before="157" w:beforeLines="50" w:line="540" w:lineRule="exact"/>
        <w:ind w:firstLine="640" w:firstLineChars="200"/>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坚持以习近平新时代中国特色社会主义思想为指导，始终把政治建设摆在首位，切实增强“四个意识”，坚定“四个自信”，做到“两个维护”。紧扣全省工作大局和省委关于地方立法工作的部署，坚持科学立法、民主立法、依法立法，统筹做好立改废释工作。制定省级地方性法规9件、修改9件、废止1件，批准市州地方性法规38件、民族自治地方单行条例7件，为治蜀兴川提供了法治保障。依法履行人大监督职责，服务全省工作大局，坚持依法开展监督工作，推动中央和省委重大决策部署贯彻落实，推动法律法规有效实施。听取和审议专项工作报告51个，作出决定决议5项，开展执法检查5次。深化拓展代表工作，代表依法履职取得新成效，坚持以人民为中心的发展思想，做深做实代表工作，支持和保障代表依法履职，促进代表更好为人民代言、为人民谋利、为人民服务。加强自身建设，不断提升人大工作整体实效。认真贯彻新时代党的建设总要求，严格落实全面从严治党责任，深入开展“四讲四有”人大建设，在加强思想政治建设的同时，着力抓好制度、能力、作风建设，推动自身建设取得新进步。</w:t>
      </w:r>
    </w:p>
    <w:p>
      <w:pPr>
        <w:pStyle w:val="3"/>
        <w:rPr>
          <w:rStyle w:val="27"/>
          <w:b w:val="0"/>
          <w:bCs w:val="0"/>
        </w:rPr>
      </w:pPr>
      <w:bookmarkStart w:id="23" w:name="_Toc15396601"/>
      <w:bookmarkStart w:id="24" w:name="_Toc15377200"/>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3"/>
      <w:bookmarkEnd w:id="24"/>
    </w:p>
    <w:p>
      <w:pPr>
        <w:pStyle w:val="5"/>
        <w:keepNext w:val="0"/>
        <w:keepLines w:val="0"/>
        <w:pageBreakBefore w:val="0"/>
        <w:widowControl w:val="0"/>
        <w:kinsoku/>
        <w:wordWrap/>
        <w:overflowPunct/>
        <w:topLinePunct w:val="0"/>
        <w:autoSpaceDE/>
        <w:autoSpaceDN/>
        <w:bidi w:val="0"/>
        <w:adjustRightInd w:val="0"/>
        <w:snapToGrid w:val="0"/>
        <w:spacing w:before="93" w:line="540" w:lineRule="exact"/>
        <w:ind w:firstLine="672" w:firstLineChars="210"/>
        <w:textAlignment w:val="auto"/>
        <w:rPr>
          <w:rFonts w:hint="eastAsia" w:ascii="仿宋_GB2312" w:hAnsi="仿宋" w:eastAsia="仿宋_GB2312"/>
          <w:b w:val="0"/>
          <w:bCs w:val="0"/>
          <w:sz w:val="32"/>
          <w:szCs w:val="32"/>
          <w:lang w:val="en-US" w:eastAsia="zh-CN"/>
        </w:rPr>
      </w:pPr>
      <w:r>
        <w:rPr>
          <w:rFonts w:hint="eastAsia" w:ascii="仿宋_GB2312" w:hAnsi="仿宋" w:eastAsia="仿宋_GB2312"/>
          <w:b w:val="0"/>
          <w:bCs w:val="0"/>
          <w:sz w:val="32"/>
          <w:szCs w:val="32"/>
          <w:lang w:val="en-US" w:eastAsia="zh-CN"/>
        </w:rPr>
        <w:t>省人大常委会办公厅下属二级预算单位四个，其中行政单位一个，参照公务员法管理的事业单位一个，其他事业单位两个。</w:t>
      </w:r>
    </w:p>
    <w:p>
      <w:pPr>
        <w:pStyle w:val="5"/>
        <w:keepNext w:val="0"/>
        <w:keepLines w:val="0"/>
        <w:pageBreakBefore w:val="0"/>
        <w:widowControl w:val="0"/>
        <w:kinsoku/>
        <w:wordWrap/>
        <w:overflowPunct/>
        <w:topLinePunct w:val="0"/>
        <w:autoSpaceDE/>
        <w:autoSpaceDN/>
        <w:bidi w:val="0"/>
        <w:adjustRightInd w:val="0"/>
        <w:snapToGrid w:val="0"/>
        <w:spacing w:before="93" w:line="540" w:lineRule="exact"/>
        <w:ind w:firstLine="672" w:firstLineChars="210"/>
        <w:textAlignment w:val="auto"/>
        <w:rPr>
          <w:rFonts w:ascii="仿宋" w:hAnsi="仿宋" w:eastAsia="仿宋"/>
          <w:color w:val="000000"/>
          <w:sz w:val="32"/>
          <w:szCs w:val="32"/>
        </w:rPr>
      </w:pPr>
      <w:r>
        <w:rPr>
          <w:rFonts w:hint="eastAsia" w:ascii="仿宋" w:hAnsi="仿宋" w:eastAsia="仿宋"/>
          <w:color w:val="000000"/>
          <w:sz w:val="32"/>
          <w:szCs w:val="32"/>
        </w:rPr>
        <w:t>纳入</w:t>
      </w:r>
      <w:r>
        <w:rPr>
          <w:rFonts w:hint="eastAsia" w:ascii="仿宋_GB2312" w:hAnsi="仿宋" w:eastAsia="仿宋_GB2312"/>
          <w:b w:val="0"/>
          <w:bCs w:val="0"/>
          <w:sz w:val="32"/>
          <w:szCs w:val="32"/>
          <w:lang w:val="en-US" w:eastAsia="zh-CN"/>
        </w:rPr>
        <w:t>省人大常委会办公厅</w:t>
      </w:r>
      <w:r>
        <w:rPr>
          <w:rFonts w:hint="eastAsia" w:ascii="仿宋" w:hAnsi="仿宋" w:eastAsia="仿宋"/>
          <w:color w:val="000000"/>
          <w:sz w:val="32"/>
          <w:szCs w:val="32"/>
        </w:rPr>
        <w:t>2019年度部门决算编制范围的二级预算单位包括：</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before="93" w:line="540" w:lineRule="exact"/>
        <w:textAlignment w:val="auto"/>
        <w:outlineLvl w:val="2"/>
        <w:rPr>
          <w:rFonts w:ascii="仿宋" w:hAnsi="仿宋" w:eastAsia="仿宋"/>
          <w:color w:val="000000"/>
          <w:sz w:val="32"/>
          <w:szCs w:val="32"/>
        </w:rPr>
      </w:pPr>
      <w:bookmarkStart w:id="25" w:name="_Toc15377434"/>
      <w:bookmarkStart w:id="26" w:name="_Toc15306277"/>
      <w:bookmarkStart w:id="27" w:name="_Toc15377203"/>
      <w:bookmarkStart w:id="28" w:name="_Toc15378450"/>
      <w:r>
        <w:rPr>
          <w:rFonts w:hint="eastAsia" w:ascii="仿宋_GB2312" w:hAnsi="仿宋" w:eastAsia="仿宋_GB2312"/>
          <w:b w:val="0"/>
          <w:bCs w:val="0"/>
          <w:sz w:val="32"/>
          <w:szCs w:val="32"/>
          <w:lang w:val="en-US" w:eastAsia="zh-CN"/>
        </w:rPr>
        <w:t>四川省省级机关老干部休养三所</w:t>
      </w:r>
    </w:p>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before="93" w:line="540" w:lineRule="exact"/>
        <w:textAlignment w:val="auto"/>
        <w:outlineLvl w:val="2"/>
        <w:rPr>
          <w:rFonts w:ascii="仿宋" w:hAnsi="仿宋" w:eastAsia="仿宋"/>
          <w:color w:val="000000"/>
          <w:sz w:val="32"/>
          <w:szCs w:val="32"/>
        </w:rPr>
      </w:pPr>
      <w:r>
        <w:rPr>
          <w:rFonts w:hint="eastAsia" w:ascii="仿宋_GB2312" w:hAnsi="仿宋" w:eastAsia="仿宋_GB2312"/>
          <w:b w:val="0"/>
          <w:bCs w:val="0"/>
          <w:sz w:val="32"/>
          <w:szCs w:val="32"/>
          <w:lang w:val="en-US" w:eastAsia="zh-CN"/>
        </w:rPr>
        <w:t>四川省人大常委会办公厅机关服务中心</w:t>
      </w:r>
    </w:p>
    <w:bookmarkEnd w:id="25"/>
    <w:bookmarkEnd w:id="26"/>
    <w:bookmarkEnd w:id="27"/>
    <w:bookmarkEnd w:id="28"/>
    <w:p>
      <w:pPr>
        <w:pStyle w:val="5"/>
        <w:keepNext w:val="0"/>
        <w:keepLines w:val="0"/>
        <w:pageBreakBefore w:val="0"/>
        <w:widowControl w:val="0"/>
        <w:numPr>
          <w:ilvl w:val="0"/>
          <w:numId w:val="1"/>
        </w:numPr>
        <w:kinsoku/>
        <w:wordWrap/>
        <w:overflowPunct/>
        <w:topLinePunct w:val="0"/>
        <w:autoSpaceDE/>
        <w:autoSpaceDN/>
        <w:bidi w:val="0"/>
        <w:adjustRightInd w:val="0"/>
        <w:snapToGrid w:val="0"/>
        <w:spacing w:before="93" w:line="540" w:lineRule="exact"/>
        <w:ind w:left="1152" w:leftChars="0" w:hanging="480" w:firstLineChars="0"/>
        <w:textAlignment w:val="auto"/>
        <w:rPr>
          <w:rFonts w:ascii="仿宋" w:hAnsi="仿宋" w:eastAsia="仿宋"/>
          <w:color w:val="000000"/>
          <w:sz w:val="32"/>
          <w:szCs w:val="32"/>
        </w:rPr>
      </w:pPr>
      <w:r>
        <w:rPr>
          <w:rFonts w:hint="eastAsia" w:ascii="仿宋_GB2312" w:hAnsi="仿宋" w:eastAsia="仿宋_GB2312"/>
          <w:b w:val="0"/>
          <w:bCs w:val="0"/>
          <w:sz w:val="32"/>
          <w:szCs w:val="32"/>
          <w:lang w:val="en-US" w:eastAsia="zh-CN"/>
        </w:rPr>
        <w:t>四川省人大常委会办公厅信息中心</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26"/>
          <w:rFonts w:ascii="黑体" w:hAnsi="黑体" w:eastAsia="黑体"/>
          <w:b w:val="0"/>
          <w:bCs w:val="0"/>
        </w:rPr>
      </w:pPr>
      <w:bookmarkStart w:id="29" w:name="_Toc25942"/>
      <w:bookmarkStart w:id="30" w:name="_Toc15396602"/>
      <w:bookmarkStart w:id="31" w:name="_Toc15377204"/>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9"/>
      <w:bookmarkEnd w:id="30"/>
      <w:bookmarkEnd w:id="31"/>
    </w:p>
    <w:p/>
    <w:p>
      <w:pPr>
        <w:pStyle w:val="25"/>
        <w:numPr>
          <w:ilvl w:val="0"/>
          <w:numId w:val="2"/>
        </w:numPr>
        <w:spacing w:line="600" w:lineRule="exact"/>
        <w:ind w:firstLineChars="0"/>
        <w:outlineLvl w:val="1"/>
        <w:rPr>
          <w:rStyle w:val="27"/>
          <w:rFonts w:ascii="黑体" w:hAnsi="黑体" w:eastAsia="黑体"/>
          <w:b w:val="0"/>
        </w:rPr>
      </w:pPr>
      <w:bookmarkStart w:id="32" w:name="_Toc15396603"/>
      <w:bookmarkStart w:id="33" w:name="_Toc15377205"/>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32"/>
      <w:bookmarkEnd w:id="33"/>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仿宋简体"/>
          <w:sz w:val="32"/>
          <w:szCs w:val="32"/>
          <w:lang w:val="en-US" w:eastAsia="zh-CN"/>
        </w:rPr>
      </w:pPr>
      <w:r>
        <w:rPr>
          <w:rFonts w:hint="eastAsia" w:eastAsia="方正仿宋简体"/>
          <w:sz w:val="32"/>
          <w:szCs w:val="32"/>
          <w:lang w:val="en-US" w:eastAsia="zh-CN"/>
        </w:rPr>
        <w:t>省人大常委会办公厅2019年部门决算总收入17694.2万元，比上年增加2042.33万元，增涨13.05%。主要因为省人大常委会会议厅改造、办公用房维修资金、一次性信息化项目资金增加。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eastAsia="方正仿宋简体"/>
          <w:sz w:val="32"/>
          <w:szCs w:val="32"/>
          <w:lang w:val="en-US" w:eastAsia="zh-CN"/>
        </w:rPr>
      </w:pPr>
      <w:r>
        <w:rPr>
          <w:rFonts w:hint="eastAsia" w:eastAsia="方正仿宋简体"/>
          <w:sz w:val="32"/>
          <w:szCs w:val="32"/>
          <w:lang w:val="en-US" w:eastAsia="zh-CN"/>
        </w:rPr>
        <w:t>省人大常委会办公厅2019年部门决算总支出</w:t>
      </w:r>
      <w:r>
        <w:rPr>
          <w:rFonts w:hint="default" w:eastAsia="方正仿宋简体"/>
          <w:sz w:val="32"/>
          <w:szCs w:val="32"/>
          <w:lang w:val="en-US" w:eastAsia="zh-CN"/>
        </w:rPr>
        <w:t>15409.02</w:t>
      </w:r>
      <w:r>
        <w:rPr>
          <w:rFonts w:hint="eastAsia" w:eastAsia="方正仿宋简体"/>
          <w:sz w:val="32"/>
          <w:szCs w:val="32"/>
          <w:lang w:val="en-US" w:eastAsia="zh-CN"/>
        </w:rPr>
        <w:t>万元，比上年增加2875.52万元，增涨22.94%。主要因为常委会会议厅改造、办公用房维修资金、一次性信息化项目资金增加。</w:t>
      </w:r>
    </w:p>
    <w:p>
      <w:pPr>
        <w:spacing w:line="600" w:lineRule="exact"/>
        <w:ind w:firstLine="2570" w:firstLineChars="800"/>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图</w:t>
      </w:r>
      <w:r>
        <w:rPr>
          <w:rFonts w:ascii="仿宋" w:hAnsi="仿宋" w:eastAsia="仿宋"/>
          <w:b/>
          <w:bCs/>
          <w:color w:val="000000" w:themeColor="text1"/>
          <w:sz w:val="32"/>
          <w:szCs w:val="32"/>
          <w14:textFill>
            <w14:solidFill>
              <w14:schemeClr w14:val="tx1"/>
            </w14:solidFill>
          </w14:textFill>
        </w:rPr>
        <w:t>1</w:t>
      </w:r>
      <w:r>
        <w:rPr>
          <w:rFonts w:hint="eastAsia" w:ascii="仿宋" w:hAnsi="仿宋" w:eastAsia="仿宋"/>
          <w:b/>
          <w:bCs/>
          <w:color w:val="000000" w:themeColor="text1"/>
          <w:sz w:val="32"/>
          <w:szCs w:val="32"/>
          <w14:textFill>
            <w14:solidFill>
              <w14:schemeClr w14:val="tx1"/>
            </w14:solidFill>
          </w14:textFill>
        </w:rPr>
        <w:t>：收、支决算总计变动情况图</w:t>
      </w:r>
    </w:p>
    <w:p>
      <w:pPr>
        <w:spacing w:line="600" w:lineRule="exact"/>
        <w:ind w:firstLine="7200" w:firstLineChars="3000"/>
        <w:rPr>
          <w:rFonts w:hint="default" w:ascii="仿宋" w:hAnsi="仿宋" w:eastAsia="仿宋"/>
          <w:b w:val="0"/>
          <w:bCs w:val="0"/>
          <w:color w:val="000000" w:themeColor="text1"/>
          <w:sz w:val="24"/>
          <w:szCs w:val="24"/>
          <w:lang w:val="en-US" w:eastAsia="zh-CN"/>
          <w14:textFill>
            <w14:solidFill>
              <w14:schemeClr w14:val="tx1"/>
            </w14:solidFill>
          </w14:textFill>
        </w:rPr>
      </w:pPr>
      <w:r>
        <w:rPr>
          <w:rFonts w:hint="eastAsia" w:ascii="仿宋" w:hAnsi="仿宋" w:eastAsia="仿宋"/>
          <w:b w:val="0"/>
          <w:bCs w:val="0"/>
          <w:color w:val="000000" w:themeColor="text1"/>
          <w:sz w:val="24"/>
          <w:szCs w:val="24"/>
          <w:lang w:eastAsia="zh-CN"/>
          <w14:textFill>
            <w14:solidFill>
              <w14:schemeClr w14:val="tx1"/>
            </w14:solidFill>
          </w14:textFill>
        </w:rPr>
        <w:t>单位</w:t>
      </w:r>
      <w:r>
        <w:rPr>
          <w:rFonts w:hint="eastAsia" w:ascii="仿宋" w:hAnsi="仿宋" w:eastAsia="仿宋"/>
          <w:b w:val="0"/>
          <w:bCs w:val="0"/>
          <w:color w:val="000000" w:themeColor="text1"/>
          <w:sz w:val="24"/>
          <w:szCs w:val="24"/>
          <w:lang w:val="en-US" w:eastAsia="zh-CN"/>
          <w14:textFill>
            <w14:solidFill>
              <w14:schemeClr w14:val="tx1"/>
            </w14:solidFill>
          </w14:textFill>
        </w:rPr>
        <w:t>:万元</w:t>
      </w:r>
    </w:p>
    <w:p>
      <w:pPr>
        <w:spacing w:line="600" w:lineRule="exact"/>
        <w:ind w:firstLine="1687" w:firstLineChars="800"/>
        <w:rPr>
          <w:rFonts w:hint="eastAsia" w:ascii="仿宋" w:hAnsi="仿宋" w:eastAsia="仿宋"/>
          <w:b/>
          <w:bCs/>
          <w:color w:val="000000" w:themeColor="text1"/>
          <w:sz w:val="32"/>
          <w:szCs w:val="32"/>
          <w14:textFill>
            <w14:solidFill>
              <w14:schemeClr w14:val="tx1"/>
            </w14:solidFill>
          </w14:textFill>
        </w:rPr>
      </w:pPr>
      <w:r>
        <w:rPr>
          <w:b/>
          <w:bCs/>
        </w:rPr>
        <w:drawing>
          <wp:anchor distT="0" distB="0" distL="114300" distR="114300" simplePos="0" relativeHeight="251658240" behindDoc="0" locked="0" layoutInCell="1" allowOverlap="1">
            <wp:simplePos x="0" y="0"/>
            <wp:positionH relativeFrom="column">
              <wp:posOffset>777240</wp:posOffset>
            </wp:positionH>
            <wp:positionV relativeFrom="paragraph">
              <wp:posOffset>83820</wp:posOffset>
            </wp:positionV>
            <wp:extent cx="4584065" cy="2755265"/>
            <wp:effectExtent l="0" t="0" r="6985"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584065" cy="2755265"/>
                    </a:xfrm>
                    <a:prstGeom prst="rect">
                      <a:avLst/>
                    </a:prstGeom>
                    <a:noFill/>
                    <a:ln>
                      <a:noFill/>
                    </a:ln>
                  </pic:spPr>
                </pic:pic>
              </a:graphicData>
            </a:graphic>
          </wp:anchor>
        </w:drawing>
      </w:r>
    </w:p>
    <w:p>
      <w:pPr>
        <w:spacing w:line="600" w:lineRule="exact"/>
        <w:ind w:firstLine="2570" w:firstLineChars="800"/>
        <w:rPr>
          <w:rFonts w:hint="eastAsia" w:ascii="仿宋" w:hAnsi="仿宋" w:eastAsia="仿宋"/>
          <w:b/>
          <w:bCs/>
          <w:color w:val="000000" w:themeColor="text1"/>
          <w:sz w:val="32"/>
          <w:szCs w:val="32"/>
          <w14:textFill>
            <w14:solidFill>
              <w14:schemeClr w14:val="tx1"/>
            </w14:solidFill>
          </w14:textFill>
        </w:rPr>
      </w:pPr>
    </w:p>
    <w:p>
      <w:pPr>
        <w:spacing w:line="600" w:lineRule="exact"/>
        <w:ind w:firstLine="2570" w:firstLineChars="800"/>
        <w:rPr>
          <w:rFonts w:hint="eastAsia" w:ascii="仿宋" w:hAnsi="仿宋" w:eastAsia="仿宋"/>
          <w:b/>
          <w:bCs/>
          <w:color w:val="000000" w:themeColor="text1"/>
          <w:sz w:val="32"/>
          <w:szCs w:val="32"/>
          <w14:textFill>
            <w14:solidFill>
              <w14:schemeClr w14:val="tx1"/>
            </w14:solidFill>
          </w14:textFill>
        </w:rPr>
      </w:pPr>
    </w:p>
    <w:p>
      <w:pPr>
        <w:spacing w:line="600" w:lineRule="exact"/>
        <w:ind w:firstLine="2570" w:firstLineChars="800"/>
        <w:rPr>
          <w:rFonts w:hint="eastAsia" w:ascii="仿宋" w:hAnsi="仿宋" w:eastAsia="仿宋"/>
          <w:b/>
          <w:bCs/>
          <w:color w:val="000000" w:themeColor="text1"/>
          <w:sz w:val="32"/>
          <w:szCs w:val="32"/>
          <w14:textFill>
            <w14:solidFill>
              <w14:schemeClr w14:val="tx1"/>
            </w14:solidFill>
          </w14:textFill>
        </w:rPr>
      </w:pPr>
    </w:p>
    <w:p>
      <w:pPr>
        <w:spacing w:line="600" w:lineRule="exact"/>
        <w:ind w:firstLine="2570" w:firstLineChars="800"/>
        <w:rPr>
          <w:rFonts w:hint="eastAsia" w:ascii="仿宋" w:hAnsi="仿宋" w:eastAsia="仿宋"/>
          <w:b/>
          <w:bCs/>
          <w:color w:val="000000" w:themeColor="text1"/>
          <w:sz w:val="32"/>
          <w:szCs w:val="32"/>
          <w14:textFill>
            <w14:solidFill>
              <w14:schemeClr w14:val="tx1"/>
            </w14:solidFill>
          </w14:textFill>
        </w:rPr>
      </w:pPr>
    </w:p>
    <w:p>
      <w:pPr>
        <w:spacing w:line="600" w:lineRule="exact"/>
        <w:ind w:firstLine="2570" w:firstLineChars="800"/>
        <w:rPr>
          <w:rFonts w:hint="eastAsia" w:ascii="仿宋" w:hAnsi="仿宋" w:eastAsia="仿宋"/>
          <w:b/>
          <w:bCs/>
          <w:color w:val="000000" w:themeColor="text1"/>
          <w:sz w:val="32"/>
          <w:szCs w:val="32"/>
          <w14:textFill>
            <w14:solidFill>
              <w14:schemeClr w14:val="tx1"/>
            </w14:solidFill>
          </w14:textFill>
        </w:rPr>
      </w:pPr>
    </w:p>
    <w:p>
      <w:pPr>
        <w:spacing w:line="600" w:lineRule="exact"/>
        <w:ind w:firstLine="640" w:firstLineChars="200"/>
        <w:jc w:val="left"/>
        <w:rPr>
          <w:rFonts w:ascii="仿宋_GB2312" w:eastAsia="仿宋_GB2312"/>
          <w:color w:val="000000"/>
          <w:sz w:val="32"/>
          <w:szCs w:val="32"/>
        </w:rPr>
      </w:pPr>
    </w:p>
    <w:p>
      <w:pPr>
        <w:spacing w:line="600" w:lineRule="exact"/>
        <w:ind w:firstLine="640" w:firstLineChars="200"/>
        <w:jc w:val="left"/>
        <w:rPr>
          <w:rFonts w:ascii="仿宋_GB2312" w:eastAsia="仿宋_GB2312"/>
          <w:color w:val="000000"/>
          <w:sz w:val="32"/>
          <w:szCs w:val="32"/>
        </w:rPr>
      </w:pPr>
    </w:p>
    <w:p>
      <w:pPr>
        <w:pStyle w:val="25"/>
        <w:numPr>
          <w:ilvl w:val="0"/>
          <w:numId w:val="2"/>
        </w:numPr>
        <w:spacing w:line="600" w:lineRule="exact"/>
        <w:ind w:firstLineChars="0"/>
        <w:outlineLvl w:val="1"/>
        <w:rPr>
          <w:rStyle w:val="27"/>
          <w:rFonts w:ascii="黑体" w:hAnsi="黑体" w:eastAsia="黑体"/>
          <w:b w:val="0"/>
        </w:rPr>
      </w:pPr>
      <w:bookmarkStart w:id="34" w:name="_Toc15396604"/>
      <w:bookmarkStart w:id="35" w:name="_Toc15377206"/>
      <w:r>
        <w:rPr>
          <w:rFonts w:hint="eastAsia" w:ascii="黑体" w:hAnsi="黑体" w:eastAsia="黑体"/>
          <w:color w:val="000000"/>
          <w:sz w:val="32"/>
          <w:szCs w:val="32"/>
        </w:rPr>
        <w:t>收</w:t>
      </w:r>
      <w:r>
        <w:rPr>
          <w:rStyle w:val="27"/>
          <w:rFonts w:hint="eastAsia" w:ascii="黑体" w:hAnsi="黑体" w:eastAsia="黑体"/>
          <w:b w:val="0"/>
        </w:rPr>
        <w:t>入决算情况说明</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pPr>
      <w:r>
        <w:rPr>
          <w:rFonts w:hint="eastAsia" w:eastAsia="方正仿宋简体"/>
          <w:kern w:val="2"/>
          <w:sz w:val="32"/>
          <w:szCs w:val="32"/>
        </w:rPr>
        <w:t>201</w:t>
      </w:r>
      <w:r>
        <w:rPr>
          <w:rFonts w:hint="eastAsia" w:eastAsia="方正仿宋简体"/>
          <w:kern w:val="2"/>
          <w:sz w:val="32"/>
          <w:szCs w:val="32"/>
          <w:lang w:val="en-US" w:eastAsia="zh-CN"/>
        </w:rPr>
        <w:t>9</w:t>
      </w:r>
      <w:r>
        <w:rPr>
          <w:rFonts w:hint="eastAsia" w:eastAsia="方正仿宋简体"/>
          <w:kern w:val="2"/>
          <w:sz w:val="32"/>
          <w:szCs w:val="32"/>
        </w:rPr>
        <w:t>年省人大常委会办公厅决算收入合计</w:t>
      </w:r>
      <w:r>
        <w:rPr>
          <w:rFonts w:hint="eastAsia" w:eastAsia="方正仿宋简体"/>
          <w:sz w:val="32"/>
          <w:szCs w:val="32"/>
          <w:lang w:val="en-US" w:eastAsia="zh-CN"/>
        </w:rPr>
        <w:t>17694.2</w:t>
      </w:r>
      <w:r>
        <w:rPr>
          <w:rFonts w:hint="eastAsia" w:eastAsia="方正仿宋简体"/>
          <w:kern w:val="2"/>
          <w:sz w:val="32"/>
          <w:szCs w:val="32"/>
        </w:rPr>
        <w:t>万元，其中：一般公共预算财政拨款收入</w:t>
      </w:r>
      <w:r>
        <w:rPr>
          <w:rFonts w:hint="eastAsia" w:eastAsia="方正仿宋简体"/>
          <w:kern w:val="2"/>
          <w:sz w:val="32"/>
          <w:szCs w:val="32"/>
          <w:lang w:val="en-US" w:eastAsia="zh-CN"/>
        </w:rPr>
        <w:t>14575.12</w:t>
      </w:r>
      <w:r>
        <w:rPr>
          <w:rFonts w:hint="eastAsia" w:eastAsia="方正仿宋简体"/>
          <w:kern w:val="2"/>
          <w:sz w:val="32"/>
          <w:szCs w:val="32"/>
        </w:rPr>
        <w:t>万元，占</w:t>
      </w:r>
      <w:r>
        <w:rPr>
          <w:rFonts w:hint="eastAsia" w:eastAsia="方正仿宋简体"/>
          <w:kern w:val="2"/>
          <w:sz w:val="32"/>
          <w:szCs w:val="32"/>
          <w:lang w:val="en-US" w:eastAsia="zh-CN"/>
        </w:rPr>
        <w:t>82.37</w:t>
      </w:r>
      <w:r>
        <w:rPr>
          <w:rFonts w:hint="eastAsia" w:eastAsia="方正仿宋简体"/>
          <w:kern w:val="2"/>
          <w:sz w:val="32"/>
          <w:szCs w:val="32"/>
        </w:rPr>
        <w:t>%；政府性基金预算财政拨款收入0万元；国有资本经营预算财政拨款收入0万元；事业收入0万元；经营收入0万元；附属单位上缴收入0万元；其他收入</w:t>
      </w:r>
      <w:r>
        <w:rPr>
          <w:rFonts w:hint="eastAsia" w:eastAsia="方正仿宋简体"/>
          <w:kern w:val="2"/>
          <w:sz w:val="32"/>
          <w:szCs w:val="32"/>
          <w:lang w:val="en-US" w:eastAsia="zh-CN"/>
        </w:rPr>
        <w:t>7.47</w:t>
      </w:r>
      <w:r>
        <w:rPr>
          <w:rFonts w:hint="eastAsia" w:eastAsia="方正仿宋简体"/>
          <w:kern w:val="2"/>
          <w:sz w:val="32"/>
          <w:szCs w:val="32"/>
        </w:rPr>
        <w:t>万元，占0.0</w:t>
      </w:r>
      <w:r>
        <w:rPr>
          <w:rFonts w:hint="eastAsia" w:eastAsia="方正仿宋简体"/>
          <w:kern w:val="2"/>
          <w:sz w:val="32"/>
          <w:szCs w:val="32"/>
          <w:lang w:val="en-US" w:eastAsia="zh-CN"/>
        </w:rPr>
        <w:t>4</w:t>
      </w:r>
      <w:r>
        <w:rPr>
          <w:rFonts w:hint="eastAsia" w:eastAsia="方正仿宋简体"/>
          <w:kern w:val="2"/>
          <w:sz w:val="32"/>
          <w:szCs w:val="32"/>
        </w:rPr>
        <w:t>%；年初结转和结余3</w:t>
      </w:r>
      <w:r>
        <w:rPr>
          <w:rFonts w:hint="eastAsia" w:eastAsia="方正仿宋简体"/>
          <w:kern w:val="2"/>
          <w:sz w:val="32"/>
          <w:szCs w:val="32"/>
          <w:lang w:val="en-US" w:eastAsia="zh-CN"/>
        </w:rPr>
        <w:t>111.61</w:t>
      </w:r>
      <w:r>
        <w:rPr>
          <w:rFonts w:hint="eastAsia" w:eastAsia="方正仿宋简体"/>
          <w:kern w:val="2"/>
          <w:sz w:val="32"/>
          <w:szCs w:val="32"/>
        </w:rPr>
        <w:t>万元，占</w:t>
      </w:r>
      <w:r>
        <w:rPr>
          <w:rFonts w:hint="eastAsia" w:eastAsia="方正仿宋简体"/>
          <w:kern w:val="2"/>
          <w:sz w:val="32"/>
          <w:szCs w:val="32"/>
          <w:lang w:val="en-US" w:eastAsia="zh-CN"/>
        </w:rPr>
        <w:t>17.59</w:t>
      </w:r>
      <w:r>
        <w:rPr>
          <w:rFonts w:hint="eastAsia" w:eastAsia="方正仿宋简体"/>
          <w:kern w:val="2"/>
          <w:sz w:val="32"/>
          <w:szCs w:val="32"/>
        </w:rPr>
        <w:t>%。</w:t>
      </w:r>
    </w:p>
    <w:p>
      <w:pPr>
        <w:spacing w:line="600" w:lineRule="exact"/>
        <w:outlineLvl w:val="9"/>
      </w:pPr>
    </w:p>
    <w:p>
      <w:pPr>
        <w:spacing w:line="600" w:lineRule="exact"/>
        <w:ind w:firstLine="2249" w:firstLineChars="700"/>
        <w:rPr>
          <w:rFonts w:ascii="仿宋_GB2312" w:eastAsia="仿宋_GB2312"/>
          <w:color w:val="FF0000"/>
          <w:sz w:val="32"/>
          <w:szCs w:val="32"/>
        </w:rPr>
      </w:pPr>
      <w:r>
        <w:rPr>
          <w:rFonts w:hint="eastAsia" w:ascii="仿宋" w:hAnsi="仿宋" w:eastAsia="仿宋"/>
          <w:b/>
          <w:bCs/>
          <w:color w:val="000000" w:themeColor="text1"/>
          <w:sz w:val="32"/>
          <w:szCs w:val="32"/>
          <w14:textFill>
            <w14:solidFill>
              <w14:schemeClr w14:val="tx1"/>
            </w14:solidFill>
          </w14:textFill>
        </w:rPr>
        <w:t>图2：收入决算结构图</w:t>
      </w:r>
      <w:r>
        <w:rPr>
          <w:rFonts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183515</wp:posOffset>
            </wp:positionH>
            <wp:positionV relativeFrom="paragraph">
              <wp:posOffset>34290</wp:posOffset>
            </wp:positionV>
            <wp:extent cx="5332095" cy="2527300"/>
            <wp:effectExtent l="0" t="0" r="1905" b="6350"/>
            <wp:wrapSquare wrapText="bothSides"/>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7"/>
                    <a:stretch>
                      <a:fillRect/>
                    </a:stretch>
                  </pic:blipFill>
                  <pic:spPr>
                    <a:xfrm>
                      <a:off x="0" y="0"/>
                      <a:ext cx="5332095" cy="2527300"/>
                    </a:xfrm>
                    <a:prstGeom prst="rect">
                      <a:avLst/>
                    </a:prstGeom>
                    <a:noFill/>
                    <a:ln w="9525">
                      <a:noFill/>
                    </a:ln>
                  </pic:spPr>
                </pic:pic>
              </a:graphicData>
            </a:graphic>
          </wp:anchor>
        </w:drawing>
      </w:r>
    </w:p>
    <w:p>
      <w:pPr>
        <w:pStyle w:val="25"/>
        <w:numPr>
          <w:ilvl w:val="0"/>
          <w:numId w:val="2"/>
        </w:numPr>
        <w:spacing w:line="600" w:lineRule="exact"/>
        <w:ind w:firstLineChars="0"/>
        <w:outlineLvl w:val="1"/>
        <w:rPr>
          <w:rStyle w:val="27"/>
          <w:rFonts w:ascii="黑体" w:hAnsi="黑体" w:eastAsia="黑体"/>
          <w:b w:val="0"/>
        </w:rPr>
      </w:pPr>
      <w:bookmarkStart w:id="36" w:name="_Toc15396605"/>
      <w:bookmarkStart w:id="37" w:name="_Toc15377207"/>
      <w:r>
        <w:rPr>
          <w:rFonts w:hint="eastAsia" w:ascii="黑体" w:hAnsi="黑体" w:eastAsia="黑体"/>
          <w:color w:val="000000"/>
          <w:sz w:val="32"/>
          <w:szCs w:val="32"/>
        </w:rPr>
        <w:t>支</w:t>
      </w:r>
      <w:r>
        <w:rPr>
          <w:rStyle w:val="27"/>
          <w:rFonts w:hint="eastAsia" w:ascii="黑体" w:hAnsi="黑体" w:eastAsia="黑体"/>
          <w:b w:val="0"/>
        </w:rPr>
        <w:t>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olor w:val="000000"/>
          <w:sz w:val="32"/>
          <w:szCs w:val="32"/>
        </w:rPr>
      </w:pPr>
      <w:r>
        <w:rPr>
          <w:rFonts w:hint="eastAsia" w:eastAsia="方正仿宋简体"/>
          <w:kern w:val="2"/>
          <w:sz w:val="32"/>
          <w:szCs w:val="32"/>
        </w:rPr>
        <w:t>201</w:t>
      </w:r>
      <w:r>
        <w:rPr>
          <w:rFonts w:hint="eastAsia" w:eastAsia="方正仿宋简体"/>
          <w:kern w:val="2"/>
          <w:sz w:val="32"/>
          <w:szCs w:val="32"/>
          <w:lang w:val="en-US" w:eastAsia="zh-CN"/>
        </w:rPr>
        <w:t>9</w:t>
      </w:r>
      <w:r>
        <w:rPr>
          <w:rFonts w:hint="eastAsia" w:eastAsia="方正仿宋简体"/>
          <w:kern w:val="2"/>
          <w:sz w:val="32"/>
          <w:szCs w:val="32"/>
        </w:rPr>
        <w:t>年省人大常委会办公厅决算本年支出合计</w:t>
      </w:r>
      <w:r>
        <w:rPr>
          <w:rFonts w:hint="eastAsia" w:eastAsia="方正仿宋简体"/>
          <w:kern w:val="2"/>
          <w:sz w:val="32"/>
          <w:szCs w:val="32"/>
          <w:lang w:val="en-US" w:eastAsia="zh-CN"/>
        </w:rPr>
        <w:t>15409.02</w:t>
      </w:r>
      <w:r>
        <w:rPr>
          <w:rFonts w:hint="eastAsia" w:eastAsia="方正仿宋简体"/>
          <w:kern w:val="2"/>
          <w:sz w:val="32"/>
          <w:szCs w:val="32"/>
        </w:rPr>
        <w:t>万元，其中基本支出</w:t>
      </w:r>
      <w:r>
        <w:rPr>
          <w:rFonts w:hint="eastAsia" w:eastAsia="方正仿宋简体"/>
          <w:kern w:val="2"/>
          <w:sz w:val="32"/>
          <w:szCs w:val="32"/>
          <w:lang w:val="en-US" w:eastAsia="zh-CN"/>
        </w:rPr>
        <w:t>10670.48</w:t>
      </w:r>
      <w:r>
        <w:rPr>
          <w:rFonts w:hint="eastAsia" w:eastAsia="方正仿宋简体"/>
          <w:kern w:val="2"/>
          <w:sz w:val="32"/>
          <w:szCs w:val="32"/>
        </w:rPr>
        <w:t>万元，占</w:t>
      </w:r>
      <w:r>
        <w:rPr>
          <w:rFonts w:hint="eastAsia" w:eastAsia="方正仿宋简体"/>
          <w:kern w:val="2"/>
          <w:sz w:val="32"/>
          <w:szCs w:val="32"/>
          <w:lang w:val="en-US" w:eastAsia="zh-CN"/>
        </w:rPr>
        <w:t>69.25</w:t>
      </w:r>
      <w:r>
        <w:rPr>
          <w:rFonts w:hint="eastAsia" w:eastAsia="方正仿宋简体"/>
          <w:kern w:val="2"/>
          <w:sz w:val="32"/>
          <w:szCs w:val="32"/>
        </w:rPr>
        <w:t>%，项目支出</w:t>
      </w:r>
      <w:r>
        <w:rPr>
          <w:rFonts w:hint="eastAsia" w:eastAsia="方正仿宋简体"/>
          <w:kern w:val="2"/>
          <w:sz w:val="32"/>
          <w:szCs w:val="32"/>
          <w:lang w:val="en-US" w:eastAsia="zh-CN"/>
        </w:rPr>
        <w:t>4738.54</w:t>
      </w:r>
      <w:r>
        <w:rPr>
          <w:rFonts w:hint="eastAsia" w:eastAsia="方正仿宋简体"/>
          <w:kern w:val="2"/>
          <w:sz w:val="32"/>
          <w:szCs w:val="32"/>
        </w:rPr>
        <w:t>万元，占</w:t>
      </w:r>
      <w:r>
        <w:rPr>
          <w:rFonts w:hint="eastAsia" w:eastAsia="方正仿宋简体"/>
          <w:kern w:val="2"/>
          <w:sz w:val="32"/>
          <w:szCs w:val="32"/>
          <w:lang w:val="en-US" w:eastAsia="zh-CN"/>
        </w:rPr>
        <w:t>30.75</w:t>
      </w:r>
      <w:r>
        <w:rPr>
          <w:rFonts w:hint="eastAsia" w:eastAsia="方正仿宋简体"/>
          <w:kern w:val="2"/>
          <w:sz w:val="32"/>
          <w:szCs w:val="32"/>
        </w:rPr>
        <w:t>%</w:t>
      </w:r>
      <w:r>
        <w:rPr>
          <w:rFonts w:hint="eastAsia" w:eastAsia="方正仿宋简体"/>
          <w:kern w:val="2"/>
          <w:sz w:val="32"/>
          <w:szCs w:val="32"/>
          <w:lang w:eastAsia="zh-CN"/>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spacing w:line="600" w:lineRule="exact"/>
        <w:ind w:firstLine="640"/>
        <w:rPr>
          <w:rFonts w:ascii="仿宋" w:hAnsi="仿宋" w:eastAsia="仿宋"/>
          <w:color w:val="000000"/>
          <w:sz w:val="32"/>
          <w:szCs w:val="32"/>
          <w:shd w:val="pct10" w:color="auto" w:fill="FFFFFF"/>
        </w:rPr>
      </w:pPr>
    </w:p>
    <w:p>
      <w:pPr>
        <w:keepNext w:val="0"/>
        <w:keepLines w:val="0"/>
        <w:widowControl/>
        <w:suppressLineNumbers w:val="0"/>
        <w:ind w:firstLine="1606" w:firstLineChars="500"/>
        <w:jc w:val="left"/>
      </w:pPr>
      <w:r>
        <w:rPr>
          <w:rFonts w:hint="eastAsia" w:ascii="仿宋" w:hAnsi="仿宋" w:eastAsia="仿宋"/>
          <w:b/>
          <w:bCs/>
          <w:color w:val="000000" w:themeColor="text1"/>
          <w:sz w:val="32"/>
          <w:szCs w:val="32"/>
          <w14:textFill>
            <w14:solidFill>
              <w14:schemeClr w14:val="tx1"/>
            </w14:solidFill>
          </w14:textFill>
        </w:rPr>
        <w:t>图3：支出决算结构图</w:t>
      </w:r>
    </w:p>
    <w:p>
      <w:pPr>
        <w:keepNext w:val="0"/>
        <w:keepLines w:val="0"/>
        <w:widowControl/>
        <w:suppressLineNumbers w:val="0"/>
        <w:jc w:val="left"/>
      </w:pP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40640</wp:posOffset>
            </wp:positionH>
            <wp:positionV relativeFrom="paragraph">
              <wp:posOffset>143510</wp:posOffset>
            </wp:positionV>
            <wp:extent cx="5189855" cy="2343785"/>
            <wp:effectExtent l="0" t="0" r="10795" b="18415"/>
            <wp:wrapSquare wrapText="bothSides"/>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8"/>
                    <a:stretch>
                      <a:fillRect/>
                    </a:stretch>
                  </pic:blipFill>
                  <pic:spPr>
                    <a:xfrm>
                      <a:off x="0" y="0"/>
                      <a:ext cx="5189855" cy="2343785"/>
                    </a:xfrm>
                    <a:prstGeom prst="rect">
                      <a:avLst/>
                    </a:prstGeom>
                    <a:noFill/>
                    <a:ln w="9525">
                      <a:noFill/>
                    </a:ln>
                  </pic:spPr>
                </pic:pic>
              </a:graphicData>
            </a:graphic>
          </wp:anchor>
        </w:drawing>
      </w:r>
    </w:p>
    <w:p>
      <w:pPr>
        <w:spacing w:line="600" w:lineRule="exact"/>
        <w:ind w:firstLine="640" w:firstLineChars="200"/>
        <w:outlineLvl w:val="1"/>
        <w:rPr>
          <w:rStyle w:val="27"/>
          <w:rFonts w:ascii="黑体" w:hAnsi="黑体" w:eastAsia="黑体"/>
          <w:b w:val="0"/>
        </w:rPr>
      </w:pPr>
      <w:bookmarkStart w:id="38" w:name="_Toc15396606"/>
      <w:bookmarkStart w:id="39"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方正仿宋简体"/>
          <w:kern w:val="2"/>
          <w:sz w:val="32"/>
          <w:szCs w:val="32"/>
          <w:lang w:val="en-US" w:eastAsia="zh-CN"/>
        </w:rPr>
      </w:pPr>
      <w:r>
        <w:rPr>
          <w:rFonts w:hint="eastAsia" w:eastAsia="方正仿宋简体"/>
          <w:kern w:val="2"/>
          <w:sz w:val="32"/>
          <w:szCs w:val="32"/>
        </w:rPr>
        <w:t>2019年财政拨款收、</w:t>
      </w:r>
      <w:r>
        <w:rPr>
          <w:rFonts w:hint="eastAsia" w:eastAsia="方正仿宋简体"/>
          <w:kern w:val="2"/>
          <w:sz w:val="32"/>
          <w:szCs w:val="32"/>
          <w:lang w:val="en-US" w:eastAsia="zh-CN"/>
        </w:rPr>
        <w:t>支总计14575.12</w:t>
      </w:r>
      <w:r>
        <w:rPr>
          <w:rFonts w:hint="eastAsia" w:eastAsia="方正仿宋简体"/>
          <w:kern w:val="2"/>
          <w:sz w:val="32"/>
          <w:szCs w:val="32"/>
        </w:rPr>
        <w:t>万元。与2018年相比，财政拨款收、支总计各增加</w:t>
      </w:r>
      <w:r>
        <w:rPr>
          <w:rFonts w:hint="eastAsia" w:eastAsia="方正仿宋简体"/>
          <w:kern w:val="2"/>
          <w:sz w:val="32"/>
          <w:szCs w:val="32"/>
          <w:lang w:val="en-US" w:eastAsia="zh-CN"/>
        </w:rPr>
        <w:t>2248.1</w:t>
      </w:r>
      <w:r>
        <w:rPr>
          <w:rFonts w:hint="eastAsia" w:eastAsia="方正仿宋简体"/>
          <w:kern w:val="2"/>
          <w:sz w:val="32"/>
          <w:szCs w:val="32"/>
        </w:rPr>
        <w:t>万元，增长</w:t>
      </w:r>
      <w:r>
        <w:rPr>
          <w:rFonts w:hint="eastAsia" w:eastAsia="方正仿宋简体"/>
          <w:kern w:val="2"/>
          <w:sz w:val="32"/>
          <w:szCs w:val="32"/>
          <w:lang w:val="en-US" w:eastAsia="zh-CN"/>
        </w:rPr>
        <w:t>18.24</w:t>
      </w:r>
      <w:r>
        <w:rPr>
          <w:rFonts w:hint="eastAsia" w:eastAsia="方正仿宋简体"/>
          <w:kern w:val="2"/>
          <w:sz w:val="32"/>
          <w:szCs w:val="32"/>
        </w:rPr>
        <w:t>%。主要变动原因是</w:t>
      </w:r>
      <w:r>
        <w:rPr>
          <w:rFonts w:hint="eastAsia" w:eastAsia="方正仿宋简体"/>
          <w:kern w:val="2"/>
          <w:sz w:val="32"/>
          <w:szCs w:val="32"/>
          <w:lang w:val="en-US" w:eastAsia="zh-CN"/>
        </w:rPr>
        <w:t>人员经费、常委会会议厅项目支出、机关1、2、3号楼办公用房维修支出增加。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eastAsia="方正仿宋简体"/>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1616" w:firstLineChars="503"/>
        <w:textAlignment w:val="auto"/>
        <w:rPr>
          <w:rFonts w:ascii="仿宋" w:hAnsi="仿宋" w:eastAsia="仿宋"/>
          <w:b/>
          <w:bCs/>
          <w:color w:val="000000"/>
          <w:sz w:val="32"/>
          <w:szCs w:val="32"/>
        </w:rPr>
      </w:pPr>
      <w:r>
        <w:rPr>
          <w:rFonts w:hint="eastAsia" w:ascii="仿宋" w:hAnsi="仿宋" w:eastAsia="仿宋"/>
          <w:b/>
          <w:bCs/>
          <w:color w:val="000000" w:themeColor="text1"/>
          <w:sz w:val="32"/>
          <w:szCs w:val="32"/>
          <w14:textFill>
            <w14:solidFill>
              <w14:schemeClr w14:val="tx1"/>
            </w14:solidFill>
          </w14:textFill>
        </w:rPr>
        <w:t>图4：财政拨款收、支决算总计变动情况</w:t>
      </w:r>
    </w:p>
    <w:p>
      <w:pPr>
        <w:keepNext w:val="0"/>
        <w:keepLines w:val="0"/>
        <w:pageBreakBefore w:val="0"/>
        <w:widowControl w:val="0"/>
        <w:kinsoku/>
        <w:wordWrap/>
        <w:overflowPunct/>
        <w:topLinePunct w:val="0"/>
        <w:autoSpaceDE/>
        <w:autoSpaceDN/>
        <w:bidi w:val="0"/>
        <w:adjustRightInd/>
        <w:snapToGrid/>
        <w:spacing w:line="500" w:lineRule="exact"/>
        <w:ind w:firstLine="7200" w:firstLineChars="3000"/>
        <w:textAlignment w:val="auto"/>
        <w:rPr>
          <w:rFonts w:hint="eastAsia" w:ascii="仿宋" w:hAnsi="仿宋" w:eastAsia="仿宋"/>
          <w:b/>
          <w:color w:val="FF0000"/>
          <w:sz w:val="32"/>
          <w:szCs w:val="32"/>
        </w:rPr>
      </w:pPr>
      <w:r>
        <w:rPr>
          <w:rFonts w:hint="eastAsia" w:ascii="仿宋" w:hAnsi="仿宋" w:eastAsia="仿宋"/>
          <w:b w:val="0"/>
          <w:bCs w:val="0"/>
          <w:color w:val="000000" w:themeColor="text1"/>
          <w:sz w:val="24"/>
          <w:szCs w:val="24"/>
          <w:lang w:eastAsia="zh-CN"/>
          <w14:textFill>
            <w14:solidFill>
              <w14:schemeClr w14:val="tx1"/>
            </w14:solidFill>
          </w14:textFill>
        </w:rPr>
        <w:t>单位</w:t>
      </w:r>
      <w:r>
        <w:rPr>
          <w:rFonts w:hint="eastAsia" w:ascii="仿宋" w:hAnsi="仿宋" w:eastAsia="仿宋"/>
          <w:b w:val="0"/>
          <w:bCs w:val="0"/>
          <w:color w:val="000000" w:themeColor="text1"/>
          <w:sz w:val="24"/>
          <w:szCs w:val="24"/>
          <w:lang w:val="en-US" w:eastAsia="zh-CN"/>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b/>
          <w:color w:val="FF0000"/>
          <w:sz w:val="32"/>
          <w:szCs w:val="32"/>
        </w:rPr>
      </w:pPr>
      <w:r>
        <w:drawing>
          <wp:anchor distT="0" distB="0" distL="114300" distR="114300" simplePos="0" relativeHeight="251662336" behindDoc="0" locked="0" layoutInCell="1" allowOverlap="1">
            <wp:simplePos x="0" y="0"/>
            <wp:positionH relativeFrom="column">
              <wp:posOffset>403225</wp:posOffset>
            </wp:positionH>
            <wp:positionV relativeFrom="paragraph">
              <wp:posOffset>67310</wp:posOffset>
            </wp:positionV>
            <wp:extent cx="4584065" cy="2755265"/>
            <wp:effectExtent l="0" t="0" r="6985" b="6985"/>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9"/>
                    <a:stretch>
                      <a:fillRect/>
                    </a:stretch>
                  </pic:blipFill>
                  <pic:spPr>
                    <a:xfrm>
                      <a:off x="0" y="0"/>
                      <a:ext cx="4584065" cy="2755265"/>
                    </a:xfrm>
                    <a:prstGeom prst="rect">
                      <a:avLst/>
                    </a:prstGeom>
                    <a:noFill/>
                    <a:ln>
                      <a:noFill/>
                    </a:ln>
                  </pic:spPr>
                </pic:pic>
              </a:graphicData>
            </a:graphic>
          </wp:anchor>
        </w:drawing>
      </w:r>
    </w:p>
    <w:p>
      <w:pPr>
        <w:spacing w:line="600" w:lineRule="exact"/>
        <w:ind w:firstLine="640"/>
        <w:rPr>
          <w:rFonts w:hint="eastAsia" w:ascii="仿宋" w:hAnsi="仿宋" w:eastAsia="仿宋"/>
          <w:b/>
          <w:color w:val="FF0000"/>
          <w:sz w:val="32"/>
          <w:szCs w:val="32"/>
        </w:rPr>
      </w:pPr>
    </w:p>
    <w:p>
      <w:pPr>
        <w:spacing w:line="600" w:lineRule="exact"/>
        <w:ind w:firstLine="640"/>
        <w:rPr>
          <w:rFonts w:hint="eastAsia" w:ascii="仿宋" w:hAnsi="仿宋" w:eastAsia="仿宋"/>
          <w:b/>
          <w:color w:val="FF0000"/>
          <w:sz w:val="32"/>
          <w:szCs w:val="32"/>
        </w:rPr>
      </w:pPr>
    </w:p>
    <w:p>
      <w:pPr>
        <w:spacing w:line="600" w:lineRule="exact"/>
        <w:ind w:firstLine="640"/>
        <w:rPr>
          <w:rFonts w:hint="eastAsia" w:ascii="仿宋" w:hAnsi="仿宋" w:eastAsia="仿宋"/>
          <w:b/>
          <w:color w:val="FF0000"/>
          <w:sz w:val="32"/>
          <w:szCs w:val="32"/>
        </w:rPr>
      </w:pPr>
    </w:p>
    <w:p>
      <w:pPr>
        <w:spacing w:line="600" w:lineRule="exact"/>
        <w:ind w:firstLine="640"/>
        <w:rPr>
          <w:rFonts w:hint="eastAsia" w:ascii="仿宋" w:hAnsi="仿宋" w:eastAsia="仿宋"/>
          <w:b/>
          <w:color w:val="FF0000"/>
          <w:sz w:val="32"/>
          <w:szCs w:val="32"/>
        </w:rPr>
      </w:pPr>
    </w:p>
    <w:p>
      <w:pPr>
        <w:spacing w:line="600" w:lineRule="exact"/>
        <w:ind w:firstLine="640"/>
        <w:rPr>
          <w:rFonts w:hint="eastAsia" w:ascii="仿宋" w:hAnsi="仿宋" w:eastAsia="仿宋"/>
          <w:b/>
          <w:color w:val="FF0000"/>
          <w:sz w:val="32"/>
          <w:szCs w:val="32"/>
        </w:rPr>
      </w:pPr>
    </w:p>
    <w:p>
      <w:pPr>
        <w:spacing w:line="600" w:lineRule="exact"/>
        <w:ind w:firstLine="640"/>
        <w:rPr>
          <w:rFonts w:hint="eastAsia" w:ascii="仿宋" w:hAnsi="仿宋" w:eastAsia="仿宋"/>
          <w:b/>
          <w:color w:val="FF0000"/>
          <w:sz w:val="32"/>
          <w:szCs w:val="32"/>
        </w:rPr>
      </w:pPr>
    </w:p>
    <w:p>
      <w:pPr>
        <w:spacing w:line="600" w:lineRule="exact"/>
        <w:ind w:firstLine="640" w:firstLineChars="200"/>
        <w:outlineLvl w:val="1"/>
        <w:rPr>
          <w:rFonts w:hint="eastAsia" w:ascii="黑体" w:hAnsi="黑体" w:eastAsia="黑体"/>
          <w:color w:val="000000"/>
          <w:sz w:val="32"/>
          <w:szCs w:val="32"/>
        </w:rPr>
      </w:pPr>
      <w:bookmarkStart w:id="40" w:name="_Toc15396607"/>
      <w:bookmarkStart w:id="41" w:name="_Toc15377209"/>
    </w:p>
    <w:p>
      <w:pPr>
        <w:spacing w:line="600" w:lineRule="exact"/>
        <w:ind w:firstLine="640" w:firstLineChars="200"/>
        <w:outlineLvl w:val="1"/>
        <w:rPr>
          <w:rStyle w:val="27"/>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40"/>
      <w:bookmarkEnd w:id="41"/>
    </w:p>
    <w:p>
      <w:pPr>
        <w:spacing w:line="600" w:lineRule="exact"/>
        <w:ind w:firstLine="643" w:firstLineChars="200"/>
        <w:outlineLvl w:val="2"/>
        <w:rPr>
          <w:rFonts w:ascii="仿宋" w:hAnsi="仿宋" w:eastAsia="仿宋"/>
          <w:b/>
          <w:color w:val="000000"/>
          <w:sz w:val="32"/>
          <w:szCs w:val="32"/>
        </w:rPr>
      </w:pPr>
      <w:bookmarkStart w:id="42" w:name="_Toc15377210"/>
      <w:r>
        <w:rPr>
          <w:rFonts w:hint="eastAsia" w:ascii="仿宋" w:hAnsi="仿宋" w:eastAsia="仿宋"/>
          <w:b/>
          <w:color w:val="000000"/>
          <w:sz w:val="32"/>
          <w:szCs w:val="32"/>
        </w:rPr>
        <w:t>（一）一般公共预算财政拨款支出决算总体情况</w:t>
      </w:r>
      <w:bookmarkEnd w:id="42"/>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line="600" w:lineRule="exact"/>
        <w:ind w:firstLine="640" w:firstLineChars="200"/>
        <w:textAlignment w:val="auto"/>
        <w:rPr>
          <w:rFonts w:hint="eastAsia" w:eastAsia="方正仿宋简体"/>
          <w:kern w:val="2"/>
          <w:sz w:val="32"/>
          <w:szCs w:val="32"/>
          <w:lang w:val="en-US" w:eastAsia="zh-CN"/>
        </w:rPr>
      </w:pPr>
      <w:r>
        <w:rPr>
          <w:rFonts w:hint="eastAsia" w:eastAsia="方正仿宋简体"/>
          <w:kern w:val="2"/>
          <w:sz w:val="32"/>
          <w:szCs w:val="32"/>
        </w:rPr>
        <w:t>2019年</w:t>
      </w:r>
      <w:r>
        <w:rPr>
          <w:rFonts w:hint="eastAsia" w:eastAsia="方正仿宋简体"/>
          <w:kern w:val="2"/>
          <w:sz w:val="32"/>
          <w:szCs w:val="32"/>
          <w:lang w:eastAsia="zh-CN"/>
        </w:rPr>
        <w:t>一般公共预算</w:t>
      </w:r>
      <w:r>
        <w:rPr>
          <w:rFonts w:hint="eastAsia" w:eastAsia="方正仿宋简体"/>
          <w:kern w:val="2"/>
          <w:sz w:val="32"/>
          <w:szCs w:val="32"/>
        </w:rPr>
        <w:t>财政拨款收、支总计</w:t>
      </w:r>
      <w:r>
        <w:rPr>
          <w:rFonts w:hint="eastAsia" w:eastAsia="方正仿宋简体"/>
          <w:kern w:val="2"/>
          <w:sz w:val="32"/>
          <w:szCs w:val="32"/>
          <w:lang w:val="en-US" w:eastAsia="zh-CN"/>
        </w:rPr>
        <w:t>14575.12</w:t>
      </w:r>
      <w:r>
        <w:rPr>
          <w:rFonts w:hint="eastAsia" w:eastAsia="方正仿宋简体"/>
          <w:kern w:val="2"/>
          <w:sz w:val="32"/>
          <w:szCs w:val="32"/>
        </w:rPr>
        <w:t>万元。与2018年相比，财政拨款收、支总计各增加</w:t>
      </w:r>
      <w:r>
        <w:rPr>
          <w:rFonts w:hint="eastAsia" w:eastAsia="方正仿宋简体"/>
          <w:kern w:val="2"/>
          <w:sz w:val="32"/>
          <w:szCs w:val="32"/>
          <w:lang w:val="en-US" w:eastAsia="zh-CN"/>
        </w:rPr>
        <w:t>2248.1</w:t>
      </w:r>
      <w:r>
        <w:rPr>
          <w:rFonts w:hint="eastAsia" w:eastAsia="方正仿宋简体"/>
          <w:kern w:val="2"/>
          <w:sz w:val="32"/>
          <w:szCs w:val="32"/>
        </w:rPr>
        <w:t>万元，增长</w:t>
      </w:r>
      <w:r>
        <w:rPr>
          <w:rFonts w:hint="eastAsia" w:eastAsia="方正仿宋简体"/>
          <w:kern w:val="2"/>
          <w:sz w:val="32"/>
          <w:szCs w:val="32"/>
          <w:lang w:val="en-US" w:eastAsia="zh-CN"/>
        </w:rPr>
        <w:t>18.24</w:t>
      </w:r>
      <w:r>
        <w:rPr>
          <w:rFonts w:hint="eastAsia" w:eastAsia="方正仿宋简体"/>
          <w:kern w:val="2"/>
          <w:sz w:val="32"/>
          <w:szCs w:val="32"/>
        </w:rPr>
        <w:t>%。主要变动原因是</w:t>
      </w:r>
      <w:r>
        <w:rPr>
          <w:rFonts w:hint="eastAsia" w:eastAsia="方正仿宋简体"/>
          <w:kern w:val="2"/>
          <w:sz w:val="32"/>
          <w:szCs w:val="32"/>
          <w:lang w:val="en-US" w:eastAsia="zh-CN"/>
        </w:rPr>
        <w:t>人员经费、常委会会议厅项目支出、机关1、2、3号楼办公用房维修支出增加。</w:t>
      </w:r>
    </w:p>
    <w:p>
      <w:pPr>
        <w:keepNext w:val="0"/>
        <w:keepLines w:val="0"/>
        <w:pageBreakBefore w:val="0"/>
        <w:widowControl w:val="0"/>
        <w:kinsoku/>
        <w:wordWrap/>
        <w:overflowPunct/>
        <w:topLinePunct w:val="0"/>
        <w:autoSpaceDE/>
        <w:autoSpaceDN/>
        <w:bidi w:val="0"/>
        <w:adjustRightInd/>
        <w:spacing w:line="600" w:lineRule="exact"/>
        <w:ind w:firstLine="964" w:firstLineChars="300"/>
        <w:textAlignment w:val="auto"/>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图5：一般公共预算财政拨款支出决算变动情况</w:t>
      </w:r>
    </w:p>
    <w:p>
      <w:pPr>
        <w:keepNext w:val="0"/>
        <w:keepLines w:val="0"/>
        <w:pageBreakBefore w:val="0"/>
        <w:widowControl w:val="0"/>
        <w:kinsoku/>
        <w:wordWrap/>
        <w:overflowPunct/>
        <w:topLinePunct w:val="0"/>
        <w:autoSpaceDE/>
        <w:autoSpaceDN/>
        <w:bidi w:val="0"/>
        <w:adjustRightInd/>
        <w:spacing w:line="600" w:lineRule="exact"/>
        <w:ind w:firstLine="7200" w:firstLineChars="3000"/>
        <w:textAlignment w:val="auto"/>
        <w:rPr>
          <w:rFonts w:hint="default" w:eastAsia="方正仿宋简体"/>
          <w:kern w:val="2"/>
          <w:sz w:val="24"/>
          <w:szCs w:val="24"/>
          <w:lang w:val="en-US" w:eastAsia="zh-CN"/>
        </w:rPr>
      </w:pPr>
      <w:r>
        <w:rPr>
          <w:rFonts w:hint="eastAsia" w:eastAsia="方正仿宋简体"/>
          <w:kern w:val="2"/>
          <w:sz w:val="24"/>
          <w:szCs w:val="24"/>
          <w:lang w:eastAsia="zh-CN"/>
        </w:rPr>
        <w:t>单位</w:t>
      </w:r>
      <w:r>
        <w:rPr>
          <w:rFonts w:hint="eastAsia" w:eastAsia="方正仿宋简体"/>
          <w:kern w:val="2"/>
          <w:sz w:val="24"/>
          <w:szCs w:val="24"/>
          <w:lang w:val="en-US" w:eastAsia="zh-CN"/>
        </w:rPr>
        <w:t>:万元</w:t>
      </w:r>
    </w:p>
    <w:p>
      <w:pPr>
        <w:keepNext w:val="0"/>
        <w:keepLines w:val="0"/>
        <w:pageBreakBefore w:val="0"/>
        <w:widowControl w:val="0"/>
        <w:kinsoku/>
        <w:wordWrap/>
        <w:overflowPunct/>
        <w:topLinePunct w:val="0"/>
        <w:autoSpaceDE/>
        <w:autoSpaceDN/>
        <w:bidi w:val="0"/>
        <w:adjustRightInd/>
        <w:spacing w:line="600" w:lineRule="exact"/>
        <w:ind w:firstLine="540" w:firstLineChars="300"/>
        <w:textAlignment w:val="auto"/>
        <w:rPr>
          <w:rFonts w:hint="eastAsia" w:ascii="仿宋" w:hAnsi="仿宋" w:eastAsia="仿宋"/>
          <w:b/>
          <w:bCs/>
          <w:color w:val="000000" w:themeColor="text1"/>
          <w:sz w:val="32"/>
          <w:szCs w:val="32"/>
          <w14:textFill>
            <w14:solidFill>
              <w14:schemeClr w14:val="tx1"/>
            </w14:solidFill>
          </w14:textFill>
        </w:rPr>
      </w:pPr>
      <w:r>
        <w:rPr>
          <w:sz w:val="18"/>
          <w:szCs w:val="21"/>
        </w:rPr>
        <w:drawing>
          <wp:anchor distT="0" distB="0" distL="114300" distR="114300" simplePos="0" relativeHeight="251667456" behindDoc="0" locked="0" layoutInCell="1" allowOverlap="1">
            <wp:simplePos x="0" y="0"/>
            <wp:positionH relativeFrom="column">
              <wp:posOffset>475615</wp:posOffset>
            </wp:positionH>
            <wp:positionV relativeFrom="paragraph">
              <wp:posOffset>15240</wp:posOffset>
            </wp:positionV>
            <wp:extent cx="4584065" cy="2755265"/>
            <wp:effectExtent l="0" t="0" r="6985" b="6985"/>
            <wp:wrapSquare wrapText="bothSides"/>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a:stretch>
                      <a:fillRect/>
                    </a:stretch>
                  </pic:blipFill>
                  <pic:spPr>
                    <a:xfrm>
                      <a:off x="0" y="0"/>
                      <a:ext cx="4584065" cy="2755265"/>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pacing w:line="600" w:lineRule="exact"/>
        <w:ind w:firstLine="964" w:firstLineChars="300"/>
        <w:textAlignment w:val="auto"/>
        <w:rPr>
          <w:rFonts w:hint="eastAsia" w:ascii="仿宋" w:hAnsi="仿宋" w:eastAsia="仿宋"/>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firstLine="964" w:firstLineChars="300"/>
        <w:textAlignment w:val="auto"/>
        <w:rPr>
          <w:rFonts w:hint="eastAsia" w:ascii="仿宋" w:hAnsi="仿宋" w:eastAsia="仿宋"/>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firstLine="964" w:firstLineChars="300"/>
        <w:textAlignment w:val="auto"/>
        <w:rPr>
          <w:rFonts w:hint="eastAsia" w:ascii="仿宋" w:hAnsi="仿宋" w:eastAsia="仿宋"/>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600" w:lineRule="exact"/>
        <w:ind w:firstLine="964" w:firstLineChars="300"/>
        <w:textAlignment w:val="auto"/>
        <w:rPr>
          <w:rFonts w:hint="eastAsia" w:ascii="仿宋" w:hAnsi="仿宋" w:eastAsia="仿宋"/>
          <w:b/>
          <w:bCs/>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9"/>
        <w:rPr>
          <w:rFonts w:hint="eastAsia" w:ascii="仿宋" w:hAnsi="仿宋" w:eastAsia="仿宋"/>
          <w:b/>
          <w:color w:val="000000"/>
          <w:sz w:val="32"/>
          <w:szCs w:val="32"/>
        </w:rPr>
      </w:pPr>
      <w:bookmarkStart w:id="43" w:name="_Toc15377211"/>
    </w:p>
    <w:p>
      <w:pPr>
        <w:spacing w:line="600" w:lineRule="exact"/>
        <w:ind w:firstLine="643" w:firstLineChars="200"/>
        <w:outlineLvl w:val="9"/>
        <w:rPr>
          <w:rFonts w:hint="eastAsia" w:ascii="仿宋" w:hAnsi="仿宋" w:eastAsia="仿宋"/>
          <w:b/>
          <w:color w:val="000000"/>
          <w:sz w:val="32"/>
          <w:szCs w:val="32"/>
        </w:rPr>
      </w:pPr>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43"/>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14575.12</w:t>
      </w:r>
      <w:r>
        <w:rPr>
          <w:rFonts w:hint="eastAsia" w:ascii="仿宋" w:hAnsi="仿宋" w:eastAsia="仿宋"/>
          <w:color w:val="000000"/>
          <w:sz w:val="32"/>
          <w:szCs w:val="32"/>
        </w:rPr>
        <w:t>万元，主要用于以下方面:一般公共服务支出</w:t>
      </w:r>
      <w:r>
        <w:rPr>
          <w:rFonts w:hint="eastAsia" w:ascii="仿宋" w:hAnsi="仿宋" w:eastAsia="仿宋"/>
          <w:color w:val="000000"/>
          <w:sz w:val="32"/>
          <w:szCs w:val="32"/>
          <w:lang w:val="en-US" w:eastAsia="zh-CN"/>
        </w:rPr>
        <w:t>11949.85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81.99</w:t>
      </w:r>
      <w:r>
        <w:rPr>
          <w:rFonts w:hint="eastAsia" w:ascii="仿宋" w:hAnsi="仿宋" w:eastAsia="仿宋"/>
          <w:color w:val="000000"/>
          <w:sz w:val="32"/>
          <w:szCs w:val="32"/>
        </w:rPr>
        <w:t>%；教育支出</w:t>
      </w:r>
      <w:r>
        <w:rPr>
          <w:rFonts w:hint="eastAsia" w:ascii="仿宋" w:hAnsi="仿宋" w:eastAsia="仿宋"/>
          <w:color w:val="000000"/>
          <w:sz w:val="32"/>
          <w:szCs w:val="32"/>
          <w:lang w:val="en-US" w:eastAsia="zh-CN"/>
        </w:rPr>
        <w:t>245.3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1.68</w:t>
      </w:r>
      <w:r>
        <w:rPr>
          <w:rFonts w:hint="eastAsia" w:ascii="仿宋" w:hAnsi="仿宋" w:eastAsia="仿宋"/>
          <w:color w:val="000000"/>
          <w:sz w:val="32"/>
          <w:szCs w:val="32"/>
        </w:rPr>
        <w:t>%；科学技术支出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%；文化旅游体育与传媒支出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%；社会保障和就业支出</w:t>
      </w:r>
      <w:r>
        <w:rPr>
          <w:rFonts w:hint="eastAsia" w:ascii="仿宋" w:hAnsi="仿宋" w:eastAsia="仿宋"/>
          <w:color w:val="000000"/>
          <w:sz w:val="32"/>
          <w:szCs w:val="32"/>
          <w:lang w:val="en-US" w:eastAsia="zh-CN"/>
        </w:rPr>
        <w:t>1348.71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9.25</w:t>
      </w:r>
      <w:r>
        <w:rPr>
          <w:rFonts w:hint="eastAsia" w:ascii="仿宋" w:hAnsi="仿宋" w:eastAsia="仿宋"/>
          <w:color w:val="000000"/>
          <w:sz w:val="32"/>
          <w:szCs w:val="32"/>
        </w:rPr>
        <w:t>%；卫生健康支出</w:t>
      </w:r>
      <w:r>
        <w:rPr>
          <w:rFonts w:hint="eastAsia" w:ascii="仿宋" w:hAnsi="仿宋" w:eastAsia="仿宋"/>
          <w:color w:val="000000"/>
          <w:sz w:val="32"/>
          <w:szCs w:val="32"/>
          <w:lang w:val="en-US" w:eastAsia="zh-CN"/>
        </w:rPr>
        <w:t>384.29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2.64</w:t>
      </w:r>
      <w:r>
        <w:rPr>
          <w:rFonts w:hint="eastAsia" w:ascii="仿宋" w:hAnsi="仿宋" w:eastAsia="仿宋"/>
          <w:color w:val="000000"/>
          <w:sz w:val="32"/>
          <w:szCs w:val="32"/>
        </w:rPr>
        <w:t>%；住房保障支出</w:t>
      </w:r>
      <w:r>
        <w:rPr>
          <w:rFonts w:hint="eastAsia" w:ascii="仿宋" w:hAnsi="仿宋" w:eastAsia="仿宋"/>
          <w:color w:val="000000"/>
          <w:sz w:val="32"/>
          <w:szCs w:val="32"/>
          <w:lang w:val="en-US" w:eastAsia="zh-CN"/>
        </w:rPr>
        <w:t>646.97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4.44</w:t>
      </w:r>
      <w:r>
        <w:rPr>
          <w:rFonts w:hint="eastAsia" w:ascii="仿宋" w:hAnsi="仿宋" w:eastAsia="仿宋"/>
          <w:color w:val="000000"/>
          <w:sz w:val="32"/>
          <w:szCs w:val="32"/>
        </w:rPr>
        <w:t>%。</w:t>
      </w:r>
    </w:p>
    <w:p>
      <w:pPr>
        <w:spacing w:line="600" w:lineRule="exact"/>
        <w:ind w:firstLine="1606" w:firstLineChars="500"/>
        <w:rPr>
          <w:rFonts w:ascii="仿宋" w:hAnsi="仿宋" w:eastAsia="仿宋"/>
          <w:b/>
          <w:bCs/>
          <w:color w:val="000000"/>
          <w:sz w:val="32"/>
          <w:szCs w:val="32"/>
        </w:rPr>
      </w:pPr>
      <w:r>
        <w:rPr>
          <w:rFonts w:hint="eastAsia" w:ascii="仿宋" w:hAnsi="仿宋" w:eastAsia="仿宋"/>
          <w:b/>
          <w:bCs/>
          <w:color w:val="000000"/>
          <w:sz w:val="32"/>
          <w:szCs w:val="32"/>
        </w:rPr>
        <w:t>图6：一般公共预算财政拨款支出决算结构</w:t>
      </w:r>
    </w:p>
    <w:p>
      <w:pPr>
        <w:spacing w:line="600" w:lineRule="exact"/>
        <w:ind w:firstLine="422" w:firstLineChars="200"/>
        <w:rPr>
          <w:rFonts w:ascii="仿宋" w:hAnsi="仿宋" w:eastAsia="仿宋"/>
          <w:color w:val="000000"/>
          <w:sz w:val="32"/>
          <w:szCs w:val="32"/>
        </w:rPr>
      </w:pPr>
      <w:r>
        <w:rPr>
          <w:b/>
          <w:bCs/>
        </w:rPr>
        <w:drawing>
          <wp:anchor distT="0" distB="0" distL="114300" distR="114300" simplePos="0" relativeHeight="251668480" behindDoc="0" locked="0" layoutInCell="1" allowOverlap="1">
            <wp:simplePos x="0" y="0"/>
            <wp:positionH relativeFrom="column">
              <wp:posOffset>179070</wp:posOffset>
            </wp:positionH>
            <wp:positionV relativeFrom="paragraph">
              <wp:posOffset>230505</wp:posOffset>
            </wp:positionV>
            <wp:extent cx="5254625" cy="2755265"/>
            <wp:effectExtent l="0" t="0" r="3175" b="6985"/>
            <wp:wrapSquare wrapText="bothSides"/>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0"/>
                    <a:stretch>
                      <a:fillRect/>
                    </a:stretch>
                  </pic:blipFill>
                  <pic:spPr>
                    <a:xfrm>
                      <a:off x="0" y="0"/>
                      <a:ext cx="5254625" cy="2755265"/>
                    </a:xfrm>
                    <a:prstGeom prst="rect">
                      <a:avLst/>
                    </a:prstGeom>
                    <a:noFill/>
                    <a:ln>
                      <a:noFill/>
                    </a:ln>
                  </pic:spPr>
                </pic:pic>
              </a:graphicData>
            </a:graphic>
          </wp:anchor>
        </w:drawing>
      </w:r>
    </w:p>
    <w:p>
      <w:pPr>
        <w:spacing w:line="600" w:lineRule="exact"/>
        <w:ind w:firstLine="643" w:firstLineChars="200"/>
        <w:outlineLvl w:val="2"/>
        <w:rPr>
          <w:rFonts w:ascii="仿宋" w:hAnsi="仿宋" w:eastAsia="仿宋"/>
          <w:b/>
          <w:color w:val="000000"/>
          <w:sz w:val="32"/>
          <w:szCs w:val="32"/>
        </w:rPr>
      </w:pPr>
      <w:bookmarkStart w:id="44" w:name="_Toc15377212"/>
      <w:r>
        <w:rPr>
          <w:rFonts w:hint="eastAsia" w:ascii="仿宋" w:hAnsi="仿宋" w:eastAsia="仿宋"/>
          <w:b/>
          <w:color w:val="000000"/>
          <w:sz w:val="32"/>
          <w:szCs w:val="32"/>
        </w:rPr>
        <w:t>（三）一般公共预算财政拨款支出决算具体情况</w:t>
      </w:r>
      <w:bookmarkEnd w:id="44"/>
    </w:p>
    <w:p>
      <w:pPr>
        <w:keepNext w:val="0"/>
        <w:keepLines w:val="0"/>
        <w:pageBreakBefore w:val="0"/>
        <w:kinsoku/>
        <w:wordWrap/>
        <w:overflowPunct/>
        <w:topLinePunct w:val="0"/>
        <w:autoSpaceDE/>
        <w:autoSpaceDN/>
        <w:bidi w:val="0"/>
        <w:adjustRightInd/>
        <w:snapToGrid/>
        <w:spacing w:afterAutospacing="0" w:line="560" w:lineRule="exact"/>
        <w:ind w:firstLine="640" w:firstLineChars="200"/>
        <w:textAlignment w:val="auto"/>
        <w:outlineLvl w:val="2"/>
        <w:rPr>
          <w:rFonts w:ascii="仿宋" w:hAnsi="仿宋" w:eastAsia="仿宋"/>
          <w:b w:val="0"/>
          <w:bCs/>
          <w:color w:val="FF0000"/>
          <w:sz w:val="32"/>
          <w:szCs w:val="32"/>
        </w:rPr>
      </w:pPr>
      <w:bookmarkStart w:id="45" w:name="_Toc15378460"/>
      <w:bookmarkStart w:id="46" w:name="_Toc15377444"/>
      <w:bookmarkStart w:id="47" w:name="_Toc15377213"/>
      <w:r>
        <w:rPr>
          <w:rFonts w:hint="eastAsia" w:ascii="仿宋" w:hAnsi="仿宋" w:eastAsia="仿宋"/>
          <w:b w:val="0"/>
          <w:bCs/>
          <w:color w:val="000000" w:themeColor="text1"/>
          <w:sz w:val="32"/>
          <w:szCs w:val="32"/>
          <w14:textFill>
            <w14:solidFill>
              <w14:schemeClr w14:val="tx1"/>
            </w14:solidFill>
          </w14:textFill>
        </w:rPr>
        <w:t>2019年</w:t>
      </w:r>
      <w:r>
        <w:rPr>
          <w:rFonts w:hint="eastAsia" w:ascii="仿宋" w:hAnsi="仿宋" w:eastAsia="仿宋"/>
          <w:b w:val="0"/>
          <w:bCs/>
          <w:color w:val="000000"/>
          <w:sz w:val="32"/>
          <w:szCs w:val="32"/>
        </w:rPr>
        <w:t>一</w:t>
      </w:r>
      <w:r>
        <w:rPr>
          <w:rFonts w:hint="eastAsia" w:ascii="仿宋" w:hAnsi="仿宋" w:eastAsia="仿宋"/>
          <w:b w:val="0"/>
          <w:bCs/>
          <w:color w:val="000000" w:themeColor="text1"/>
          <w:sz w:val="32"/>
          <w:szCs w:val="32"/>
          <w14:textFill>
            <w14:solidFill>
              <w14:schemeClr w14:val="tx1"/>
            </w14:solidFill>
          </w14:textFill>
        </w:rPr>
        <w:t>般公共预算支出决算数为</w:t>
      </w:r>
      <w:r>
        <w:rPr>
          <w:rFonts w:hint="eastAsia" w:ascii="仿宋" w:hAnsi="仿宋" w:eastAsia="仿宋"/>
          <w:b w:val="0"/>
          <w:bCs/>
          <w:color w:val="000000"/>
          <w:sz w:val="32"/>
          <w:szCs w:val="32"/>
          <w:lang w:val="en-US" w:eastAsia="zh-CN"/>
        </w:rPr>
        <w:t>14575.12</w:t>
      </w:r>
      <w:r>
        <w:rPr>
          <w:rFonts w:hint="eastAsia" w:ascii="仿宋" w:hAnsi="仿宋" w:eastAsia="仿宋"/>
          <w:b w:val="0"/>
          <w:bCs/>
          <w:color w:val="000000" w:themeColor="text1"/>
          <w:sz w:val="32"/>
          <w:szCs w:val="32"/>
          <w14:textFill>
            <w14:solidFill>
              <w14:schemeClr w14:val="tx1"/>
            </w14:solidFill>
          </w14:textFill>
        </w:rPr>
        <w:t>，</w:t>
      </w:r>
      <w:r>
        <w:rPr>
          <w:rStyle w:val="16"/>
          <w:rFonts w:hint="eastAsia" w:ascii="仿宋" w:hAnsi="仿宋" w:eastAsia="仿宋"/>
          <w:b w:val="0"/>
          <w:bCs/>
          <w:color w:val="000000" w:themeColor="text1"/>
          <w:sz w:val="32"/>
          <w:szCs w:val="32"/>
          <w14:textFill>
            <w14:solidFill>
              <w14:schemeClr w14:val="tx1"/>
            </w14:solidFill>
          </w14:textFill>
        </w:rPr>
        <w:t>完成</w:t>
      </w:r>
      <w:r>
        <w:rPr>
          <w:rStyle w:val="16"/>
          <w:rFonts w:hint="eastAsia" w:ascii="仿宋" w:hAnsi="仿宋" w:eastAsia="仿宋"/>
          <w:b w:val="0"/>
          <w:bCs/>
          <w:color w:val="000000"/>
          <w:sz w:val="32"/>
          <w:szCs w:val="32"/>
        </w:rPr>
        <w:t>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。其中：</w:t>
      </w:r>
      <w:bookmarkEnd w:id="45"/>
      <w:bookmarkEnd w:id="46"/>
      <w:bookmarkEnd w:id="47"/>
    </w:p>
    <w:p>
      <w:pPr>
        <w:pStyle w:val="12"/>
        <w:keepNext w:val="0"/>
        <w:keepLines w:val="0"/>
        <w:pageBreakBefore w:val="0"/>
        <w:widowControl/>
        <w:kinsoku/>
        <w:wordWrap/>
        <w:overflowPunct/>
        <w:topLinePunct w:val="0"/>
        <w:autoSpaceDE/>
        <w:autoSpaceDN/>
        <w:bidi w:val="0"/>
        <w:adjustRightInd/>
        <w:snapToGrid/>
        <w:spacing w:before="156" w:beforeLines="50" w:beforeAutospacing="0" w:afterAutospacing="0" w:line="560" w:lineRule="exact"/>
        <w:ind w:firstLine="643" w:firstLineChars="200"/>
        <w:jc w:val="both"/>
        <w:textAlignment w:val="auto"/>
        <w:rPr>
          <w:rFonts w:ascii="仿宋_GB2312" w:hAnsi="仿宋" w:eastAsia="仿宋_GB2312"/>
          <w:kern w:val="2"/>
          <w:sz w:val="32"/>
          <w:szCs w:val="32"/>
        </w:rPr>
      </w:pPr>
      <w:r>
        <w:rPr>
          <w:rStyle w:val="16"/>
          <w:rFonts w:ascii="仿宋" w:hAnsi="仿宋" w:eastAsia="仿宋"/>
          <w:bCs/>
          <w:color w:val="000000"/>
          <w:sz w:val="32"/>
          <w:szCs w:val="32"/>
        </w:rPr>
        <w:t>1.</w:t>
      </w:r>
      <w:r>
        <w:rPr>
          <w:rFonts w:hint="eastAsia" w:ascii="仿宋_GB2312" w:hAnsi="仿宋" w:eastAsia="仿宋_GB2312"/>
          <w:kern w:val="2"/>
          <w:sz w:val="32"/>
          <w:szCs w:val="32"/>
        </w:rPr>
        <w:t>一般公共服务（类）人大事务（款）行政运行（项）: 支出决算为</w:t>
      </w:r>
      <w:r>
        <w:rPr>
          <w:rFonts w:hint="eastAsia" w:ascii="仿宋_GB2312" w:hAnsi="仿宋" w:eastAsia="仿宋_GB2312"/>
          <w:kern w:val="2"/>
          <w:sz w:val="32"/>
          <w:szCs w:val="32"/>
          <w:lang w:val="en-US" w:eastAsia="zh-CN"/>
        </w:rPr>
        <w:t>5838.01</w:t>
      </w:r>
      <w:r>
        <w:rPr>
          <w:rFonts w:hint="eastAsia" w:ascii="仿宋_GB2312" w:hAnsi="仿宋" w:eastAsia="仿宋_GB2312"/>
          <w:kern w:val="2"/>
          <w:sz w:val="32"/>
          <w:szCs w:val="32"/>
        </w:rPr>
        <w:t>万元，完成预算</w:t>
      </w:r>
      <w:r>
        <w:rPr>
          <w:rFonts w:hint="eastAsia" w:ascii="仿宋_GB2312" w:hAnsi="仿宋" w:eastAsia="仿宋_GB2312"/>
          <w:kern w:val="2"/>
          <w:sz w:val="32"/>
          <w:szCs w:val="32"/>
          <w:lang w:val="en-US" w:eastAsia="zh-CN"/>
        </w:rPr>
        <w:t>99.99</w:t>
      </w:r>
      <w:r>
        <w:rPr>
          <w:rFonts w:hint="eastAsia" w:ascii="仿宋_GB2312" w:hAnsi="仿宋" w:eastAsia="仿宋_GB2312"/>
          <w:kern w:val="2"/>
          <w:sz w:val="32"/>
          <w:szCs w:val="32"/>
        </w:rPr>
        <w:t>%。一般行政管理事务（项）：支出决算为</w:t>
      </w:r>
      <w:r>
        <w:rPr>
          <w:rFonts w:hint="eastAsia" w:ascii="仿宋_GB2312" w:hAnsi="仿宋" w:eastAsia="仿宋_GB2312"/>
          <w:kern w:val="2"/>
          <w:sz w:val="32"/>
          <w:szCs w:val="32"/>
          <w:lang w:val="en-US" w:eastAsia="zh-CN"/>
        </w:rPr>
        <w:t>1572.39</w:t>
      </w:r>
      <w:r>
        <w:rPr>
          <w:rFonts w:hint="eastAsia" w:ascii="仿宋_GB2312" w:hAnsi="仿宋" w:eastAsia="仿宋_GB2312"/>
          <w:kern w:val="2"/>
          <w:sz w:val="32"/>
          <w:szCs w:val="32"/>
        </w:rPr>
        <w:t>万元，完成预算</w:t>
      </w:r>
      <w:r>
        <w:rPr>
          <w:rFonts w:hint="eastAsia" w:ascii="仿宋_GB2312" w:hAnsi="仿宋" w:eastAsia="仿宋_GB2312"/>
          <w:kern w:val="2"/>
          <w:sz w:val="32"/>
          <w:szCs w:val="32"/>
          <w:lang w:val="en-US" w:eastAsia="zh-CN"/>
        </w:rPr>
        <w:t>99.99</w:t>
      </w:r>
      <w:r>
        <w:rPr>
          <w:rFonts w:hint="eastAsia" w:ascii="仿宋_GB2312" w:hAnsi="仿宋" w:eastAsia="仿宋_GB2312"/>
          <w:kern w:val="2"/>
          <w:sz w:val="32"/>
          <w:szCs w:val="32"/>
        </w:rPr>
        <w:t>%。机关服务（项）：支出决算为46</w:t>
      </w:r>
      <w:r>
        <w:rPr>
          <w:rFonts w:hint="eastAsia" w:ascii="仿宋_GB2312" w:hAnsi="仿宋" w:eastAsia="仿宋_GB2312"/>
          <w:kern w:val="2"/>
          <w:sz w:val="32"/>
          <w:szCs w:val="32"/>
          <w:lang w:val="en-US" w:eastAsia="zh-CN"/>
        </w:rPr>
        <w:t>2.29</w:t>
      </w:r>
      <w:r>
        <w:rPr>
          <w:rFonts w:hint="eastAsia" w:ascii="仿宋_GB2312" w:hAnsi="仿宋" w:eastAsia="仿宋_GB2312"/>
          <w:kern w:val="2"/>
          <w:sz w:val="32"/>
          <w:szCs w:val="32"/>
        </w:rPr>
        <w:t>万元，完成预算100%。人大会议（项）：支出决算为</w:t>
      </w:r>
      <w:r>
        <w:rPr>
          <w:rFonts w:hint="eastAsia" w:ascii="仿宋_GB2312" w:hAnsi="仿宋" w:eastAsia="仿宋_GB2312"/>
          <w:kern w:val="2"/>
          <w:sz w:val="32"/>
          <w:szCs w:val="32"/>
          <w:lang w:val="en-US" w:eastAsia="zh-CN"/>
        </w:rPr>
        <w:t>1756</w:t>
      </w:r>
      <w:r>
        <w:rPr>
          <w:rFonts w:hint="eastAsia" w:ascii="仿宋_GB2312" w:hAnsi="仿宋" w:eastAsia="仿宋_GB2312"/>
          <w:kern w:val="2"/>
          <w:sz w:val="32"/>
          <w:szCs w:val="32"/>
        </w:rPr>
        <w:t>万元，完成预算100%。人大立法（项）：支出决算为</w:t>
      </w:r>
      <w:r>
        <w:rPr>
          <w:rFonts w:hint="eastAsia" w:ascii="仿宋_GB2312" w:hAnsi="仿宋" w:eastAsia="仿宋_GB2312"/>
          <w:kern w:val="2"/>
          <w:sz w:val="32"/>
          <w:szCs w:val="32"/>
          <w:lang w:val="en-US" w:eastAsia="zh-CN"/>
        </w:rPr>
        <w:t>89</w:t>
      </w:r>
      <w:r>
        <w:rPr>
          <w:rFonts w:hint="eastAsia" w:ascii="仿宋_GB2312" w:hAnsi="仿宋" w:eastAsia="仿宋_GB2312"/>
          <w:kern w:val="2"/>
          <w:sz w:val="32"/>
          <w:szCs w:val="32"/>
        </w:rPr>
        <w:t>万元，完成预算100%。人大监督（项）：支出决算为</w:t>
      </w:r>
      <w:r>
        <w:rPr>
          <w:rFonts w:hint="eastAsia" w:ascii="仿宋_GB2312" w:hAnsi="仿宋" w:eastAsia="仿宋_GB2312"/>
          <w:kern w:val="2"/>
          <w:sz w:val="32"/>
          <w:szCs w:val="32"/>
          <w:lang w:val="en-US" w:eastAsia="zh-CN"/>
        </w:rPr>
        <w:t>192.85</w:t>
      </w:r>
      <w:r>
        <w:rPr>
          <w:rFonts w:hint="eastAsia" w:ascii="仿宋_GB2312" w:hAnsi="仿宋" w:eastAsia="仿宋_GB2312"/>
          <w:kern w:val="2"/>
          <w:sz w:val="32"/>
          <w:szCs w:val="32"/>
        </w:rPr>
        <w:t>万元，完成预算100%。人大代表履职能力提升（项）：支出决算为</w:t>
      </w:r>
      <w:r>
        <w:rPr>
          <w:rFonts w:hint="eastAsia" w:ascii="仿宋_GB2312" w:hAnsi="仿宋" w:eastAsia="仿宋_GB2312"/>
          <w:kern w:val="2"/>
          <w:sz w:val="32"/>
          <w:szCs w:val="32"/>
          <w:lang w:val="en-US" w:eastAsia="zh-CN"/>
        </w:rPr>
        <w:t>575.99</w:t>
      </w:r>
      <w:r>
        <w:rPr>
          <w:rFonts w:hint="eastAsia" w:ascii="仿宋_GB2312" w:hAnsi="仿宋" w:eastAsia="仿宋_GB2312"/>
          <w:kern w:val="2"/>
          <w:sz w:val="32"/>
          <w:szCs w:val="32"/>
        </w:rPr>
        <w:t>万元，完成预算100%。代表工作（项）：支出决算为</w:t>
      </w:r>
      <w:r>
        <w:rPr>
          <w:rFonts w:hint="eastAsia" w:ascii="仿宋_GB2312" w:hAnsi="仿宋" w:eastAsia="仿宋_GB2312"/>
          <w:kern w:val="2"/>
          <w:sz w:val="32"/>
          <w:szCs w:val="32"/>
          <w:lang w:val="en-US" w:eastAsia="zh-CN"/>
        </w:rPr>
        <w:t>28</w:t>
      </w:r>
      <w:r>
        <w:rPr>
          <w:rFonts w:hint="eastAsia" w:ascii="仿宋_GB2312" w:hAnsi="仿宋" w:eastAsia="仿宋_GB2312"/>
          <w:kern w:val="2"/>
          <w:sz w:val="32"/>
          <w:szCs w:val="32"/>
        </w:rPr>
        <w:t>万元，完成预算100%。人大信访工作（项）：支出决算为</w:t>
      </w:r>
      <w:r>
        <w:rPr>
          <w:rFonts w:hint="eastAsia" w:ascii="仿宋_GB2312" w:hAnsi="仿宋" w:eastAsia="仿宋_GB2312"/>
          <w:kern w:val="2"/>
          <w:sz w:val="32"/>
          <w:szCs w:val="32"/>
          <w:lang w:val="en-US" w:eastAsia="zh-CN"/>
        </w:rPr>
        <w:t>29</w:t>
      </w:r>
      <w:r>
        <w:rPr>
          <w:rFonts w:hint="eastAsia" w:ascii="仿宋_GB2312" w:hAnsi="仿宋" w:eastAsia="仿宋_GB2312"/>
          <w:kern w:val="2"/>
          <w:sz w:val="32"/>
          <w:szCs w:val="32"/>
        </w:rPr>
        <w:t>万元，完成预算100%。事业运行（项）：支出决算为26.</w:t>
      </w:r>
      <w:r>
        <w:rPr>
          <w:rFonts w:hint="eastAsia" w:ascii="仿宋_GB2312" w:hAnsi="仿宋" w:eastAsia="仿宋_GB2312"/>
          <w:kern w:val="2"/>
          <w:sz w:val="32"/>
          <w:szCs w:val="32"/>
          <w:lang w:val="en-US" w:eastAsia="zh-CN"/>
        </w:rPr>
        <w:t>34</w:t>
      </w:r>
      <w:r>
        <w:rPr>
          <w:rFonts w:hint="eastAsia" w:ascii="仿宋_GB2312" w:hAnsi="仿宋" w:eastAsia="仿宋_GB2312"/>
          <w:kern w:val="2"/>
          <w:sz w:val="32"/>
          <w:szCs w:val="32"/>
        </w:rPr>
        <w:t>万元，完成预算100%。其他人大事务支出（项）：支出决算为</w:t>
      </w:r>
      <w:r>
        <w:rPr>
          <w:rFonts w:hint="eastAsia" w:ascii="仿宋_GB2312" w:hAnsi="仿宋" w:eastAsia="仿宋_GB2312"/>
          <w:kern w:val="2"/>
          <w:sz w:val="32"/>
          <w:szCs w:val="32"/>
          <w:lang w:val="en-US" w:eastAsia="zh-CN"/>
        </w:rPr>
        <w:t>1379.98</w:t>
      </w:r>
      <w:r>
        <w:rPr>
          <w:rFonts w:hint="eastAsia" w:ascii="仿宋_GB2312" w:hAnsi="仿宋" w:eastAsia="仿宋_GB2312"/>
          <w:kern w:val="2"/>
          <w:sz w:val="32"/>
          <w:szCs w:val="32"/>
        </w:rPr>
        <w:t>万元，完成预算100%。</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ascii="仿宋" w:hAnsi="仿宋" w:eastAsia="仿宋"/>
          <w:b/>
          <w:color w:val="000000"/>
          <w:sz w:val="32"/>
          <w:szCs w:val="32"/>
        </w:rPr>
      </w:pPr>
      <w:r>
        <w:rPr>
          <w:rStyle w:val="16"/>
          <w:rFonts w:ascii="仿宋" w:hAnsi="仿宋" w:eastAsia="仿宋"/>
          <w:bCs/>
          <w:color w:val="000000"/>
          <w:sz w:val="32"/>
          <w:szCs w:val="32"/>
        </w:rPr>
        <w:t>2.</w:t>
      </w:r>
      <w:r>
        <w:rPr>
          <w:rFonts w:ascii="仿宋_GB2312" w:hAnsi="仿宋" w:eastAsia="仿宋_GB2312"/>
          <w:sz w:val="32"/>
          <w:szCs w:val="32"/>
        </w:rPr>
        <w:t xml:space="preserve"> 教育支出（类）进修及培训（款）培训支出（项）: 支出决算为</w:t>
      </w:r>
      <w:r>
        <w:rPr>
          <w:rFonts w:hint="eastAsia" w:ascii="仿宋_GB2312" w:hAnsi="仿宋" w:eastAsia="仿宋_GB2312"/>
          <w:sz w:val="32"/>
          <w:szCs w:val="32"/>
          <w:lang w:val="en-US" w:eastAsia="zh-CN"/>
        </w:rPr>
        <w:t>245.3</w:t>
      </w:r>
      <w:r>
        <w:rPr>
          <w:rFonts w:ascii="仿宋_GB2312" w:hAnsi="仿宋" w:eastAsia="仿宋_GB2312"/>
          <w:sz w:val="32"/>
          <w:szCs w:val="32"/>
        </w:rPr>
        <w:t>万元，完成预算100%。</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eastAsia" w:ascii="仿宋" w:hAnsi="仿宋" w:eastAsia="仿宋"/>
          <w:b w:val="0"/>
          <w:bCs/>
          <w:color w:val="000000"/>
          <w:sz w:val="32"/>
          <w:szCs w:val="32"/>
        </w:rPr>
        <w:t>科学技术（类）</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支出决算为0万元，预决算无差异。</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ascii="仿宋" w:hAnsi="仿宋" w:eastAsia="仿宋"/>
          <w:b/>
          <w:color w:val="000000"/>
          <w:sz w:val="32"/>
          <w:szCs w:val="32"/>
        </w:rPr>
      </w:pPr>
      <w:r>
        <w:rPr>
          <w:rStyle w:val="16"/>
          <w:rFonts w:ascii="仿宋" w:hAnsi="仿宋" w:eastAsia="仿宋"/>
          <w:bCs/>
          <w:color w:val="000000"/>
          <w:sz w:val="32"/>
          <w:szCs w:val="32"/>
        </w:rPr>
        <w:t>4.</w:t>
      </w:r>
      <w:r>
        <w:rPr>
          <w:rStyle w:val="16"/>
          <w:rFonts w:hint="eastAsia" w:ascii="仿宋" w:hAnsi="仿宋" w:eastAsia="仿宋"/>
          <w:b w:val="0"/>
          <w:bCs/>
          <w:color w:val="000000"/>
          <w:sz w:val="32"/>
          <w:szCs w:val="32"/>
        </w:rPr>
        <w:t>文化体育与传媒（类）</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支出决算为0万元，预决算无差异。</w:t>
      </w:r>
    </w:p>
    <w:p>
      <w:pPr>
        <w:pStyle w:val="12"/>
        <w:keepNext w:val="0"/>
        <w:keepLines w:val="0"/>
        <w:pageBreakBefore w:val="0"/>
        <w:widowControl/>
        <w:kinsoku/>
        <w:wordWrap/>
        <w:overflowPunct/>
        <w:topLinePunct w:val="0"/>
        <w:autoSpaceDE/>
        <w:autoSpaceDN/>
        <w:bidi w:val="0"/>
        <w:adjustRightInd/>
        <w:snapToGrid/>
        <w:spacing w:before="156" w:beforeLines="50" w:beforeAutospacing="0" w:afterAutospacing="0" w:line="560" w:lineRule="exact"/>
        <w:ind w:left="166" w:leftChars="79" w:firstLine="472" w:firstLineChars="147"/>
        <w:jc w:val="both"/>
        <w:textAlignment w:val="auto"/>
        <w:rPr>
          <w:rFonts w:ascii="仿宋_GB2312" w:hAnsi="仿宋" w:eastAsia="仿宋_GB2312"/>
          <w:kern w:val="2"/>
          <w:sz w:val="32"/>
          <w:szCs w:val="32"/>
        </w:rPr>
      </w:pPr>
      <w:r>
        <w:rPr>
          <w:rStyle w:val="16"/>
          <w:rFonts w:ascii="仿宋" w:hAnsi="仿宋" w:eastAsia="仿宋"/>
          <w:bCs/>
          <w:color w:val="000000"/>
          <w:sz w:val="32"/>
          <w:szCs w:val="32"/>
        </w:rPr>
        <w:t>5.</w:t>
      </w:r>
      <w:r>
        <w:rPr>
          <w:rFonts w:ascii="仿宋_GB2312" w:hAnsi="仿宋" w:eastAsia="仿宋_GB2312"/>
          <w:sz w:val="32"/>
          <w:szCs w:val="32"/>
        </w:rPr>
        <w:t xml:space="preserve"> </w:t>
      </w:r>
      <w:r>
        <w:rPr>
          <w:rFonts w:ascii="仿宋_GB2312" w:hAnsi="仿宋" w:eastAsia="仿宋_GB2312"/>
          <w:kern w:val="2"/>
          <w:sz w:val="32"/>
          <w:szCs w:val="32"/>
        </w:rPr>
        <w:t>社会保障和就业（类）行政事业单位离退休（款）</w:t>
      </w:r>
      <w:r>
        <w:rPr>
          <w:rFonts w:hint="eastAsia" w:ascii="仿宋_GB2312" w:hAnsi="仿宋" w:eastAsia="仿宋_GB2312"/>
          <w:kern w:val="2"/>
          <w:sz w:val="32"/>
          <w:szCs w:val="32"/>
        </w:rPr>
        <w:t>归口管理的行政单位离退休</w:t>
      </w:r>
      <w:r>
        <w:rPr>
          <w:rFonts w:ascii="仿宋_GB2312" w:hAnsi="仿宋" w:eastAsia="仿宋_GB2312"/>
          <w:kern w:val="2"/>
          <w:sz w:val="32"/>
          <w:szCs w:val="32"/>
        </w:rPr>
        <w:t>（项）</w:t>
      </w:r>
      <w:r>
        <w:rPr>
          <w:rFonts w:hint="eastAsia" w:ascii="仿宋_GB2312" w:hAnsi="仿宋" w:eastAsia="仿宋_GB2312"/>
          <w:kern w:val="2"/>
          <w:sz w:val="32"/>
          <w:szCs w:val="32"/>
        </w:rPr>
        <w:t>：</w:t>
      </w:r>
      <w:r>
        <w:rPr>
          <w:rFonts w:ascii="仿宋_GB2312" w:hAnsi="仿宋" w:eastAsia="仿宋_GB2312"/>
          <w:kern w:val="2"/>
          <w:sz w:val="32"/>
          <w:szCs w:val="32"/>
        </w:rPr>
        <w:t>支出决算为</w:t>
      </w:r>
      <w:r>
        <w:rPr>
          <w:rFonts w:hint="eastAsia" w:ascii="仿宋_GB2312" w:hAnsi="仿宋" w:eastAsia="仿宋_GB2312"/>
          <w:kern w:val="2"/>
          <w:sz w:val="32"/>
          <w:szCs w:val="32"/>
          <w:lang w:val="en-US" w:eastAsia="zh-CN"/>
        </w:rPr>
        <w:t>142.68</w:t>
      </w:r>
      <w:r>
        <w:rPr>
          <w:rFonts w:ascii="仿宋_GB2312" w:hAnsi="仿宋" w:eastAsia="仿宋_GB2312"/>
          <w:kern w:val="2"/>
          <w:sz w:val="32"/>
          <w:szCs w:val="32"/>
        </w:rPr>
        <w:t>万元，完成预算100%。未归口管理的行政单位离退休（项）:支出决算为</w:t>
      </w:r>
      <w:r>
        <w:rPr>
          <w:rFonts w:hint="eastAsia" w:ascii="仿宋_GB2312" w:hAnsi="仿宋" w:eastAsia="仿宋_GB2312"/>
          <w:kern w:val="2"/>
          <w:sz w:val="32"/>
          <w:szCs w:val="32"/>
        </w:rPr>
        <w:t>5</w:t>
      </w:r>
      <w:r>
        <w:rPr>
          <w:rFonts w:hint="eastAsia" w:ascii="仿宋_GB2312" w:hAnsi="仿宋" w:eastAsia="仿宋_GB2312"/>
          <w:kern w:val="2"/>
          <w:sz w:val="32"/>
          <w:szCs w:val="32"/>
          <w:lang w:val="en-US" w:eastAsia="zh-CN"/>
        </w:rPr>
        <w:t>32.82</w:t>
      </w:r>
      <w:r>
        <w:rPr>
          <w:rFonts w:ascii="仿宋_GB2312" w:hAnsi="仿宋" w:eastAsia="仿宋_GB2312"/>
          <w:kern w:val="2"/>
          <w:sz w:val="32"/>
          <w:szCs w:val="32"/>
        </w:rPr>
        <w:t>万元，完成预算100%。机关事业单位基本养老保险缴费支出（项）:支出决算为</w:t>
      </w:r>
      <w:r>
        <w:rPr>
          <w:rFonts w:hint="eastAsia" w:ascii="仿宋_GB2312" w:hAnsi="仿宋" w:eastAsia="仿宋_GB2312"/>
          <w:kern w:val="2"/>
          <w:sz w:val="32"/>
          <w:szCs w:val="32"/>
          <w:lang w:val="en-US" w:eastAsia="zh-CN"/>
        </w:rPr>
        <w:t>490.67</w:t>
      </w:r>
      <w:r>
        <w:rPr>
          <w:rFonts w:ascii="仿宋_GB2312" w:hAnsi="仿宋" w:eastAsia="仿宋_GB2312"/>
          <w:kern w:val="2"/>
          <w:sz w:val="32"/>
          <w:szCs w:val="32"/>
        </w:rPr>
        <w:t>万元，完成预算100%。机关事业单位职业年金缴费支出（项）:支出决算为</w:t>
      </w:r>
      <w:r>
        <w:rPr>
          <w:rFonts w:hint="eastAsia" w:ascii="仿宋_GB2312" w:hAnsi="仿宋" w:eastAsia="仿宋_GB2312"/>
          <w:kern w:val="2"/>
          <w:sz w:val="32"/>
          <w:szCs w:val="32"/>
          <w:lang w:val="en-US" w:eastAsia="zh-CN"/>
        </w:rPr>
        <w:t>36.55</w:t>
      </w:r>
      <w:r>
        <w:rPr>
          <w:rFonts w:ascii="仿宋_GB2312" w:hAnsi="仿宋" w:eastAsia="仿宋_GB2312"/>
          <w:kern w:val="2"/>
          <w:sz w:val="32"/>
          <w:szCs w:val="32"/>
        </w:rPr>
        <w:t>万元，完成预算100%。抚恤（款）死亡抚恤（项）：支出决算为</w:t>
      </w:r>
      <w:r>
        <w:rPr>
          <w:rFonts w:hint="eastAsia" w:ascii="仿宋_GB2312" w:hAnsi="仿宋" w:eastAsia="仿宋_GB2312"/>
          <w:kern w:val="2"/>
          <w:sz w:val="32"/>
          <w:szCs w:val="32"/>
          <w:lang w:val="en-US" w:eastAsia="zh-CN"/>
        </w:rPr>
        <w:t>145.97</w:t>
      </w:r>
      <w:r>
        <w:rPr>
          <w:rFonts w:ascii="仿宋_GB2312" w:hAnsi="仿宋" w:eastAsia="仿宋_GB2312"/>
          <w:kern w:val="2"/>
          <w:sz w:val="32"/>
          <w:szCs w:val="32"/>
        </w:rPr>
        <w:t>万元，完成预算100%。其他社会保障和就业支出（款）其他社会保障和就业支出（项）：支出决算为</w:t>
      </w:r>
      <w:r>
        <w:rPr>
          <w:rFonts w:hint="eastAsia" w:ascii="仿宋_GB2312" w:hAnsi="仿宋" w:eastAsia="仿宋_GB2312"/>
          <w:kern w:val="2"/>
          <w:sz w:val="32"/>
          <w:szCs w:val="32"/>
          <w:lang w:val="en-US" w:eastAsia="zh-CN"/>
        </w:rPr>
        <w:t>0.01</w:t>
      </w:r>
      <w:r>
        <w:rPr>
          <w:rFonts w:ascii="仿宋_GB2312" w:hAnsi="仿宋" w:eastAsia="仿宋_GB2312"/>
          <w:kern w:val="2"/>
          <w:sz w:val="32"/>
          <w:szCs w:val="32"/>
        </w:rPr>
        <w:t>万元，完成预算100%。</w:t>
      </w:r>
    </w:p>
    <w:p>
      <w:pPr>
        <w:pStyle w:val="12"/>
        <w:keepNext w:val="0"/>
        <w:keepLines w:val="0"/>
        <w:pageBreakBefore w:val="0"/>
        <w:widowControl/>
        <w:kinsoku/>
        <w:wordWrap/>
        <w:overflowPunct/>
        <w:topLinePunct w:val="0"/>
        <w:autoSpaceDE/>
        <w:autoSpaceDN/>
        <w:bidi w:val="0"/>
        <w:adjustRightInd/>
        <w:snapToGrid/>
        <w:spacing w:before="156" w:beforeLines="50" w:beforeAutospacing="0" w:afterAutospacing="0" w:line="560" w:lineRule="exact"/>
        <w:ind w:left="166" w:leftChars="79" w:firstLine="472" w:firstLineChars="147"/>
        <w:jc w:val="both"/>
        <w:textAlignment w:val="auto"/>
        <w:rPr>
          <w:rFonts w:ascii="仿宋_GB2312" w:hAnsi="仿宋" w:eastAsia="仿宋_GB2312"/>
          <w:kern w:val="2"/>
          <w:sz w:val="32"/>
          <w:szCs w:val="32"/>
        </w:rPr>
      </w:pPr>
      <w:r>
        <w:rPr>
          <w:rStyle w:val="16"/>
          <w:rFonts w:ascii="仿宋" w:hAnsi="仿宋" w:eastAsia="仿宋"/>
          <w:bCs/>
          <w:color w:val="000000"/>
          <w:sz w:val="32"/>
          <w:szCs w:val="32"/>
        </w:rPr>
        <w:t>6.</w:t>
      </w:r>
      <w:r>
        <w:rPr>
          <w:rFonts w:hint="eastAsia" w:ascii="仿宋_GB2312" w:hAnsi="仿宋" w:eastAsia="仿宋_GB2312"/>
          <w:sz w:val="32"/>
          <w:szCs w:val="32"/>
          <w:lang w:eastAsia="zh-CN"/>
        </w:rPr>
        <w:t>卫生健康支出</w:t>
      </w:r>
      <w:r>
        <w:rPr>
          <w:rFonts w:ascii="仿宋_GB2312" w:hAnsi="仿宋" w:eastAsia="仿宋_GB2312"/>
          <w:kern w:val="2"/>
          <w:sz w:val="32"/>
          <w:szCs w:val="32"/>
        </w:rPr>
        <w:t>（类）行政事业单位医疗（款）行政单位医疗（项）:支出决算为</w:t>
      </w:r>
      <w:r>
        <w:rPr>
          <w:rFonts w:hint="eastAsia" w:ascii="仿宋_GB2312" w:hAnsi="仿宋" w:eastAsia="仿宋_GB2312"/>
          <w:kern w:val="2"/>
          <w:sz w:val="32"/>
          <w:szCs w:val="32"/>
          <w:lang w:val="en-US" w:eastAsia="zh-CN"/>
        </w:rPr>
        <w:t>285.04</w:t>
      </w:r>
      <w:r>
        <w:rPr>
          <w:rFonts w:ascii="仿宋_GB2312" w:hAnsi="仿宋" w:eastAsia="仿宋_GB2312"/>
          <w:kern w:val="2"/>
          <w:sz w:val="32"/>
          <w:szCs w:val="32"/>
        </w:rPr>
        <w:t>万元，完成预算100%。事业单位医疗（款）：支出决算为</w:t>
      </w:r>
      <w:r>
        <w:rPr>
          <w:rFonts w:hint="eastAsia" w:ascii="仿宋_GB2312" w:hAnsi="仿宋" w:eastAsia="仿宋_GB2312"/>
          <w:kern w:val="2"/>
          <w:sz w:val="32"/>
          <w:szCs w:val="32"/>
          <w:lang w:val="en-US" w:eastAsia="zh-CN"/>
        </w:rPr>
        <w:t>32.27</w:t>
      </w:r>
      <w:r>
        <w:rPr>
          <w:rFonts w:ascii="仿宋_GB2312" w:hAnsi="仿宋" w:eastAsia="仿宋_GB2312"/>
          <w:kern w:val="2"/>
          <w:sz w:val="32"/>
          <w:szCs w:val="32"/>
        </w:rPr>
        <w:t>万元，完成预算100%。公务员医疗补助支出（项）：支出决算为66.</w:t>
      </w:r>
      <w:r>
        <w:rPr>
          <w:rFonts w:hint="eastAsia" w:ascii="仿宋_GB2312" w:hAnsi="仿宋" w:eastAsia="仿宋_GB2312"/>
          <w:kern w:val="2"/>
          <w:sz w:val="32"/>
          <w:szCs w:val="32"/>
          <w:lang w:val="en-US" w:eastAsia="zh-CN"/>
        </w:rPr>
        <w:t>98</w:t>
      </w:r>
      <w:r>
        <w:rPr>
          <w:rFonts w:ascii="仿宋_GB2312" w:hAnsi="仿宋" w:eastAsia="仿宋_GB2312"/>
          <w:kern w:val="2"/>
          <w:sz w:val="32"/>
          <w:szCs w:val="32"/>
        </w:rPr>
        <w:t>万元，完成预算100%。</w:t>
      </w:r>
    </w:p>
    <w:p>
      <w:pPr>
        <w:keepNext w:val="0"/>
        <w:keepLines w:val="0"/>
        <w:pageBreakBefore w:val="0"/>
        <w:kinsoku/>
        <w:wordWrap/>
        <w:overflowPunct/>
        <w:topLinePunct w:val="0"/>
        <w:autoSpaceDE/>
        <w:autoSpaceDN/>
        <w:bidi w:val="0"/>
        <w:adjustRightInd/>
        <w:snapToGrid/>
        <w:spacing w:afterAutospacing="0" w:line="560" w:lineRule="exact"/>
        <w:ind w:firstLine="643" w:firstLineChars="200"/>
        <w:textAlignment w:val="auto"/>
        <w:rPr>
          <w:rFonts w:ascii="仿宋" w:hAnsi="仿宋" w:eastAsia="仿宋"/>
          <w:b/>
          <w:color w:val="000000"/>
          <w:sz w:val="32"/>
          <w:szCs w:val="32"/>
        </w:rPr>
      </w:pPr>
      <w:r>
        <w:rPr>
          <w:rStyle w:val="16"/>
          <w:rFonts w:hint="eastAsia" w:ascii="仿宋" w:eastAsia="仿宋"/>
          <w:bCs/>
          <w:color w:val="000000"/>
          <w:kern w:val="0"/>
          <w:sz w:val="32"/>
        </w:rPr>
        <w:t>7、</w:t>
      </w:r>
      <w:r>
        <w:rPr>
          <w:rFonts w:ascii="仿宋_GB2312" w:hAnsi="仿宋" w:eastAsia="仿宋_GB2312"/>
          <w:sz w:val="32"/>
          <w:szCs w:val="32"/>
        </w:rPr>
        <w:t>住房保障支出（类）住房改革支出（款）住房公积金（项）:支出决算为</w:t>
      </w:r>
      <w:r>
        <w:rPr>
          <w:rFonts w:hint="eastAsia" w:ascii="仿宋_GB2312" w:hAnsi="仿宋" w:eastAsia="仿宋_GB2312"/>
          <w:sz w:val="32"/>
          <w:szCs w:val="32"/>
          <w:lang w:val="en-US" w:eastAsia="zh-CN"/>
        </w:rPr>
        <w:t>425.18</w:t>
      </w:r>
      <w:r>
        <w:rPr>
          <w:rFonts w:ascii="仿宋_GB2312" w:hAnsi="仿宋" w:eastAsia="仿宋_GB2312"/>
          <w:sz w:val="32"/>
          <w:szCs w:val="32"/>
        </w:rPr>
        <w:t>万元，完成预算100%。购房补贴（项）支出决算为</w:t>
      </w:r>
      <w:r>
        <w:rPr>
          <w:rFonts w:hint="eastAsia" w:ascii="仿宋_GB2312" w:hAnsi="仿宋" w:eastAsia="仿宋_GB2312"/>
          <w:sz w:val="32"/>
          <w:szCs w:val="32"/>
          <w:lang w:val="en-US" w:eastAsia="zh-CN"/>
        </w:rPr>
        <w:t>221.79</w:t>
      </w:r>
      <w:r>
        <w:rPr>
          <w:rFonts w:ascii="仿宋_GB2312" w:hAnsi="仿宋" w:eastAsia="仿宋_GB2312"/>
          <w:sz w:val="32"/>
          <w:szCs w:val="32"/>
        </w:rPr>
        <w:t>万元，完成预算100%。</w:t>
      </w:r>
    </w:p>
    <w:p>
      <w:pPr>
        <w:tabs>
          <w:tab w:val="right" w:pos="8306"/>
        </w:tabs>
        <w:spacing w:line="600" w:lineRule="exact"/>
        <w:ind w:firstLine="640"/>
        <w:outlineLvl w:val="1"/>
        <w:rPr>
          <w:rStyle w:val="27"/>
        </w:rPr>
      </w:pPr>
      <w:bookmarkStart w:id="48" w:name="_Toc15396608"/>
      <w:bookmarkStart w:id="4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8"/>
      <w:bookmarkEnd w:id="49"/>
      <w:r>
        <w:rPr>
          <w:rStyle w:val="27"/>
          <w:rFonts w:ascii="黑体" w:hAnsi="黑体" w:eastAsia="黑体"/>
          <w:b w:val="0"/>
        </w:rPr>
        <w:tab/>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10663.21</w:t>
      </w:r>
      <w:r>
        <w:rPr>
          <w:rFonts w:hint="eastAsia" w:ascii="仿宋" w:hAnsi="仿宋" w:eastAsia="仿宋"/>
          <w:color w:val="000000"/>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6039.27</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4623.94</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50" w:name="_Toc15396609"/>
      <w:bookmarkStart w:id="51" w:name="_Toc15377215"/>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50"/>
      <w:bookmarkEnd w:id="51"/>
    </w:p>
    <w:p>
      <w:pPr>
        <w:spacing w:line="600" w:lineRule="exact"/>
        <w:ind w:firstLine="640"/>
        <w:outlineLvl w:val="2"/>
        <w:rPr>
          <w:rFonts w:ascii="仿宋" w:hAnsi="仿宋" w:eastAsia="仿宋"/>
          <w:b/>
          <w:color w:val="000000"/>
          <w:sz w:val="32"/>
          <w:szCs w:val="32"/>
        </w:rPr>
      </w:pPr>
      <w:bookmarkStart w:id="52" w:name="_Toc15377216"/>
      <w:r>
        <w:rPr>
          <w:rFonts w:hint="eastAsia" w:ascii="仿宋" w:hAnsi="仿宋" w:eastAsia="仿宋"/>
          <w:b/>
          <w:color w:val="000000"/>
          <w:sz w:val="32"/>
          <w:szCs w:val="32"/>
        </w:rPr>
        <w:t>（一）“三公”经费财政拨款支出决算总体情况说明</w:t>
      </w:r>
      <w:bookmarkEnd w:id="52"/>
    </w:p>
    <w:p>
      <w:pPr>
        <w:spacing w:line="600" w:lineRule="exact"/>
        <w:ind w:firstLine="640"/>
        <w:rPr>
          <w:rFonts w:ascii="仿宋" w:hAnsi="仿宋" w:eastAsia="仿宋"/>
          <w:b/>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261.15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80.7</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_GB2312" w:hAnsi="仿宋" w:eastAsia="仿宋_GB2312"/>
          <w:kern w:val="2"/>
          <w:sz w:val="32"/>
          <w:szCs w:val="32"/>
        </w:rPr>
        <w:t>车辆保险费和运维费支出减少</w:t>
      </w:r>
      <w:r>
        <w:rPr>
          <w:rFonts w:hint="eastAsia" w:ascii="仿宋_GB2312" w:hAnsi="仿宋" w:eastAsia="仿宋_GB2312"/>
          <w:kern w:val="2"/>
          <w:sz w:val="32"/>
          <w:szCs w:val="32"/>
          <w:lang w:val="en-US" w:eastAsia="zh-CN"/>
        </w:rPr>
        <w:t>,</w:t>
      </w:r>
      <w:r>
        <w:rPr>
          <w:rFonts w:hint="eastAsia" w:ascii="仿宋_GB2312" w:hAnsi="仿宋" w:eastAsia="仿宋_GB2312"/>
          <w:kern w:val="2"/>
          <w:sz w:val="32"/>
          <w:szCs w:val="32"/>
          <w:lang w:eastAsia="zh-CN"/>
        </w:rPr>
        <w:t>公务接待人次减少，厉行节约控制有效</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53" w:name="_Toc15377217"/>
      <w:r>
        <w:rPr>
          <w:rFonts w:hint="eastAsia" w:ascii="仿宋" w:hAnsi="仿宋" w:eastAsia="仿宋"/>
          <w:b/>
          <w:color w:val="000000"/>
          <w:sz w:val="32"/>
          <w:szCs w:val="32"/>
        </w:rPr>
        <w:t>（二）“三公”经费财政拨款支出决算具体情况说明</w:t>
      </w:r>
      <w:bookmarkEnd w:id="5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_GB2312" w:hAnsi="仿宋" w:eastAsia="仿宋_GB2312"/>
          <w:kern w:val="2"/>
          <w:sz w:val="32"/>
          <w:szCs w:val="32"/>
          <w:lang w:val="en-US" w:eastAsia="zh-CN"/>
        </w:rPr>
        <w:t>75.39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28.87</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_GB2312" w:hAnsi="仿宋" w:eastAsia="仿宋_GB2312"/>
          <w:kern w:val="2"/>
          <w:sz w:val="32"/>
          <w:szCs w:val="32"/>
          <w:lang w:val="en-US" w:eastAsia="zh-CN"/>
        </w:rPr>
        <w:t>170.92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65.45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_GB2312" w:hAnsi="仿宋" w:eastAsia="仿宋_GB2312"/>
          <w:kern w:val="2"/>
          <w:sz w:val="32"/>
          <w:szCs w:val="32"/>
          <w:lang w:val="en-US" w:eastAsia="zh-CN"/>
        </w:rPr>
        <w:t>14.84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5.68</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b/>
          <w:bCs/>
          <w:color w:val="000000"/>
          <w:sz w:val="32"/>
          <w:szCs w:val="32"/>
        </w:rPr>
      </w:pPr>
      <w:r>
        <w:rPr>
          <w:rFonts w:hint="eastAsia" w:ascii="仿宋" w:hAnsi="仿宋" w:eastAsia="仿宋"/>
          <w:b/>
          <w:bCs/>
          <w:color w:val="000000"/>
          <w:sz w:val="32"/>
          <w:szCs w:val="32"/>
        </w:rPr>
        <w:t>图7：“三公”经费财政拨款支出结构</w:t>
      </w:r>
    </w:p>
    <w:p>
      <w:pPr>
        <w:spacing w:line="600" w:lineRule="exact"/>
        <w:ind w:firstLine="6004" w:firstLineChars="2502"/>
        <w:rPr>
          <w:rFonts w:hint="default" w:ascii="仿宋" w:hAnsi="仿宋" w:eastAsia="仿宋"/>
          <w:color w:val="000000"/>
          <w:sz w:val="24"/>
          <w:szCs w:val="24"/>
          <w:lang w:val="en-US" w:eastAsia="zh-CN"/>
        </w:rPr>
      </w:pPr>
      <w:r>
        <w:rPr>
          <w:rFonts w:hint="eastAsia" w:ascii="仿宋" w:hAnsi="仿宋" w:eastAsia="仿宋"/>
          <w:color w:val="000000"/>
          <w:sz w:val="24"/>
          <w:szCs w:val="24"/>
          <w:lang w:eastAsia="zh-CN"/>
        </w:rPr>
        <w:t>单位</w:t>
      </w:r>
      <w:r>
        <w:rPr>
          <w:rFonts w:hint="eastAsia" w:ascii="仿宋" w:hAnsi="仿宋" w:eastAsia="仿宋"/>
          <w:color w:val="000000"/>
          <w:sz w:val="24"/>
          <w:szCs w:val="24"/>
          <w:lang w:val="en-US" w:eastAsia="zh-CN"/>
        </w:rPr>
        <w:t>:万元</w:t>
      </w:r>
    </w:p>
    <w:p>
      <w:pPr>
        <w:spacing w:line="600" w:lineRule="exact"/>
        <w:ind w:firstLine="640"/>
        <w:rPr>
          <w:rFonts w:hint="eastAsia" w:ascii="仿宋" w:hAnsi="仿宋" w:eastAsia="仿宋"/>
          <w:color w:val="000000"/>
          <w:sz w:val="32"/>
          <w:szCs w:val="32"/>
        </w:rPr>
      </w:pPr>
      <w:r>
        <w:rPr>
          <w:rFonts w:hint="eastAsia" w:ascii="仿宋_GB2312" w:hAnsi="仿宋" w:eastAsia="仿宋_GB2312"/>
          <w:b w:val="0"/>
          <w:bCs w:val="0"/>
          <w:kern w:val="2"/>
          <w:sz w:val="22"/>
          <w:szCs w:val="22"/>
          <w:lang w:val="en-US" w:eastAsia="zh-CN" w:bidi="ar-SA"/>
        </w:rPr>
        <w:drawing>
          <wp:anchor distT="0" distB="0" distL="114300" distR="114300" simplePos="0" relativeHeight="251673600" behindDoc="0" locked="0" layoutInCell="1" allowOverlap="1">
            <wp:simplePos x="0" y="0"/>
            <wp:positionH relativeFrom="column">
              <wp:posOffset>294005</wp:posOffset>
            </wp:positionH>
            <wp:positionV relativeFrom="paragraph">
              <wp:posOffset>18415</wp:posOffset>
            </wp:positionV>
            <wp:extent cx="4584065" cy="3102610"/>
            <wp:effectExtent l="0" t="0" r="6985" b="2540"/>
            <wp:wrapTopAndBottom/>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a:stretch>
                      <a:fillRect/>
                    </a:stretch>
                  </pic:blipFill>
                  <pic:spPr>
                    <a:xfrm>
                      <a:off x="0" y="0"/>
                      <a:ext cx="4584065" cy="310261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仿宋_GB2312" w:eastAsia="仿宋_GB2312"/>
          <w:b/>
          <w:color w:val="000000"/>
          <w:sz w:val="32"/>
          <w:szCs w:val="32"/>
          <w:lang w:val="en-US" w:eastAsia="zh-CN"/>
        </w:rPr>
      </w:pPr>
      <w:r>
        <w:rPr>
          <w:rFonts w:ascii="仿宋_GB2312" w:eastAsia="仿宋_GB2312"/>
          <w:b/>
          <w:color w:val="000000"/>
          <w:sz w:val="32"/>
          <w:szCs w:val="32"/>
        </w:rPr>
        <w:t>1.</w:t>
      </w:r>
      <w:r>
        <w:rPr>
          <w:rFonts w:hint="eastAsia" w:ascii="仿宋" w:hAnsi="仿宋" w:eastAsia="仿宋"/>
          <w:color w:val="000000"/>
          <w:sz w:val="32"/>
          <w:szCs w:val="32"/>
        </w:rPr>
        <w:t>因公出国（境）经费支出</w:t>
      </w:r>
      <w:r>
        <w:rPr>
          <w:rFonts w:hint="eastAsia" w:ascii="仿宋" w:hAnsi="仿宋" w:eastAsia="仿宋"/>
          <w:color w:val="000000"/>
          <w:sz w:val="32"/>
          <w:szCs w:val="32"/>
          <w:lang w:val="en-US" w:eastAsia="zh-CN"/>
        </w:rPr>
        <w:t>75.39</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94.24</w:t>
      </w:r>
      <w:r>
        <w:rPr>
          <w:rFonts w:hint="eastAsia" w:ascii="仿宋" w:hAnsi="仿宋" w:eastAsia="仿宋"/>
          <w:color w:val="000000"/>
          <w:sz w:val="32"/>
          <w:szCs w:val="32"/>
        </w:rPr>
        <w:t>%。全年安排因公出国（境）团组</w:t>
      </w:r>
      <w:r>
        <w:rPr>
          <w:rFonts w:hint="eastAsia" w:ascii="仿宋" w:hAnsi="仿宋" w:eastAsia="仿宋"/>
          <w:color w:val="000000"/>
          <w:sz w:val="32"/>
          <w:szCs w:val="32"/>
          <w:lang w:val="en-US" w:eastAsia="zh-CN"/>
        </w:rPr>
        <w:t>9</w:t>
      </w:r>
      <w:r>
        <w:rPr>
          <w:rFonts w:hint="eastAsia" w:ascii="仿宋" w:hAnsi="仿宋" w:eastAsia="仿宋"/>
          <w:color w:val="000000"/>
          <w:sz w:val="32"/>
          <w:szCs w:val="32"/>
        </w:rPr>
        <w:t>次，出国（境）</w:t>
      </w:r>
      <w:r>
        <w:rPr>
          <w:rFonts w:hint="eastAsia" w:ascii="仿宋" w:hAnsi="仿宋" w:eastAsia="仿宋"/>
          <w:color w:val="000000"/>
          <w:sz w:val="32"/>
          <w:szCs w:val="32"/>
          <w:lang w:val="en-US" w:eastAsia="zh-CN"/>
        </w:rPr>
        <w:t>25</w:t>
      </w:r>
      <w:r>
        <w:rPr>
          <w:rFonts w:hint="eastAsia" w:ascii="仿宋" w:hAnsi="仿宋" w:eastAsia="仿宋"/>
          <w:color w:val="000000"/>
          <w:sz w:val="32"/>
          <w:szCs w:val="32"/>
        </w:rPr>
        <w:t>人。因公出国（境）支出决算比2018年增加</w:t>
      </w:r>
      <w:r>
        <w:rPr>
          <w:rFonts w:hint="eastAsia" w:ascii="仿宋" w:hAnsi="仿宋" w:eastAsia="仿宋"/>
          <w:color w:val="000000"/>
          <w:sz w:val="32"/>
          <w:szCs w:val="32"/>
          <w:lang w:val="en-US" w:eastAsia="zh-CN"/>
        </w:rPr>
        <w:t>50.65</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204.73</w:t>
      </w:r>
      <w:r>
        <w:rPr>
          <w:rFonts w:hint="eastAsia" w:ascii="仿宋" w:hAnsi="仿宋" w:eastAsia="仿宋"/>
          <w:color w:val="000000"/>
          <w:sz w:val="32"/>
          <w:szCs w:val="32"/>
        </w:rPr>
        <w:t>%。主要原因是</w:t>
      </w:r>
      <w:r>
        <w:rPr>
          <w:rFonts w:hint="eastAsia" w:ascii="仿宋" w:hAnsi="仿宋" w:eastAsia="仿宋"/>
          <w:color w:val="000000"/>
          <w:sz w:val="32"/>
          <w:szCs w:val="32"/>
          <w:lang w:eastAsia="zh-CN"/>
        </w:rPr>
        <w:t>因公出国任务增加。</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olor w:val="000000"/>
          <w:sz w:val="32"/>
          <w:szCs w:val="32"/>
        </w:rPr>
      </w:pPr>
      <w:r>
        <w:rPr>
          <w:rFonts w:hint="eastAsia" w:ascii="仿宋" w:hAnsi="仿宋" w:eastAsia="仿宋"/>
          <w:color w:val="000000"/>
          <w:sz w:val="32"/>
          <w:szCs w:val="32"/>
        </w:rPr>
        <w:t>开支内容包括：访问智利、玻利维亚和哥斯达黎加，签署了首份与拉美地区民间组织建立友好合作关系备忘录，进一步巩固我省与拉美地区友城之间的关系，丰富了中拉友好合作关系的内涵。</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olor w:val="000000"/>
          <w:sz w:val="32"/>
          <w:szCs w:val="32"/>
        </w:rPr>
      </w:pPr>
      <w:r>
        <w:rPr>
          <w:rFonts w:hint="eastAsia" w:ascii="仿宋" w:hAnsi="仿宋" w:eastAsia="仿宋"/>
          <w:color w:val="000000"/>
          <w:sz w:val="32"/>
          <w:szCs w:val="32"/>
        </w:rPr>
        <w:t>访问芬兰、波兰、斯洛伐克，在斯洛伐克举办四川推介会，与斯方就建立友好省州关系，开展议会交流，并加强双方在新能源汽车产业合作达成共识。</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olor w:val="000000"/>
          <w:sz w:val="32"/>
          <w:szCs w:val="32"/>
        </w:rPr>
      </w:pPr>
      <w:r>
        <w:rPr>
          <w:rFonts w:hint="eastAsia" w:ascii="仿宋" w:hAnsi="仿宋" w:eastAsia="仿宋"/>
          <w:color w:val="000000"/>
          <w:sz w:val="32"/>
          <w:szCs w:val="32"/>
        </w:rPr>
        <w:t>与省友协一</w:t>
      </w:r>
      <w:bookmarkStart w:id="85" w:name="_GoBack"/>
      <w:bookmarkEnd w:id="85"/>
      <w:r>
        <w:rPr>
          <w:rFonts w:hint="eastAsia" w:ascii="仿宋" w:hAnsi="仿宋" w:eastAsia="仿宋"/>
          <w:color w:val="000000"/>
          <w:sz w:val="32"/>
          <w:szCs w:val="32"/>
        </w:rPr>
        <w:t>道开展“友好四川走进比利时”活动，向当地民众展示非物质文化遗产剪纸、糖画，展示四川美景美食，品味文化天府和物美天府，比利时埃诺省省长勒克莱克表示，将向更多朋友介绍四川、推介四川。</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olor w:val="000000"/>
          <w:sz w:val="32"/>
          <w:szCs w:val="32"/>
        </w:rPr>
      </w:pPr>
      <w:r>
        <w:rPr>
          <w:rFonts w:hint="eastAsia" w:ascii="仿宋" w:hAnsi="仿宋" w:eastAsia="仿宋"/>
          <w:color w:val="000000"/>
          <w:sz w:val="32"/>
          <w:szCs w:val="32"/>
        </w:rPr>
        <w:t>与省侨办一道赴巴西、智利、阿根廷，举办“中华川菜、世界品味”和文艺演出活动，以独具特色的四川美食、地域文化为载体，全面展示了四川厚重的历史底蕴、包容的人文氛围、开放的发展环境。</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olor w:val="000000"/>
          <w:sz w:val="32"/>
          <w:szCs w:val="32"/>
        </w:rPr>
      </w:pPr>
      <w:r>
        <w:rPr>
          <w:rFonts w:hint="eastAsia" w:ascii="仿宋" w:hAnsi="仿宋" w:eastAsia="仿宋"/>
          <w:color w:val="000000"/>
          <w:sz w:val="32"/>
          <w:szCs w:val="32"/>
        </w:rPr>
        <w:t>与省侨联一道赴德国、希腊、英国开展“亲情中华·美丽四川”主题活动，展示独具巴蜀特色的文化和风情，为国际友人和海外侨胞提供多姿多彩的中华文化产品。并在英国剑桥大学举办的“新丝路——促进‘一带一路’贸易公平稳定”论坛上发表演讲，扩大中国文化在海外的影响。</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 w:hAnsi="仿宋" w:eastAsia="仿宋"/>
          <w:color w:val="000000"/>
          <w:sz w:val="32"/>
          <w:szCs w:val="32"/>
          <w:lang w:val="en-US" w:eastAsia="zh-CN"/>
        </w:rPr>
      </w:pPr>
      <w:r>
        <w:rPr>
          <w:rFonts w:ascii="仿宋_GB2312" w:eastAsia="仿宋_GB2312"/>
          <w:b/>
          <w:color w:val="000000"/>
          <w:sz w:val="32"/>
          <w:szCs w:val="32"/>
        </w:rPr>
        <w:t>2.</w:t>
      </w:r>
      <w:r>
        <w:rPr>
          <w:rFonts w:hint="eastAsia" w:ascii="仿宋" w:hAnsi="仿宋" w:eastAsia="仿宋"/>
          <w:color w:val="000000"/>
          <w:sz w:val="32"/>
          <w:szCs w:val="32"/>
        </w:rPr>
        <w:t>公务用车购置及运行维护费支出</w:t>
      </w:r>
      <w:r>
        <w:rPr>
          <w:rFonts w:hint="eastAsia" w:ascii="仿宋" w:hAnsi="仿宋" w:eastAsia="仿宋"/>
          <w:color w:val="000000"/>
          <w:sz w:val="32"/>
          <w:szCs w:val="32"/>
          <w:lang w:val="en-US" w:eastAsia="zh-CN"/>
        </w:rPr>
        <w:t>170.92</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88.29</w:t>
      </w:r>
      <w:r>
        <w:rPr>
          <w:rFonts w:hint="eastAsia" w:ascii="仿宋" w:hAnsi="仿宋" w:eastAsia="仿宋"/>
          <w:color w:val="000000"/>
          <w:sz w:val="32"/>
          <w:szCs w:val="32"/>
        </w:rPr>
        <w:t>%。公务用车购置及运行维护费支出决算比2018年减少</w:t>
      </w:r>
      <w:r>
        <w:rPr>
          <w:rFonts w:hint="eastAsia" w:ascii="仿宋" w:hAnsi="仿宋" w:eastAsia="仿宋"/>
          <w:color w:val="000000"/>
          <w:sz w:val="32"/>
          <w:szCs w:val="32"/>
          <w:lang w:val="en-US" w:eastAsia="zh-CN"/>
        </w:rPr>
        <w:t>12.56</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6.85</w:t>
      </w:r>
      <w:r>
        <w:rPr>
          <w:rFonts w:hint="eastAsia" w:ascii="仿宋" w:hAnsi="仿宋" w:eastAsia="仿宋"/>
          <w:color w:val="000000"/>
          <w:sz w:val="32"/>
          <w:szCs w:val="32"/>
        </w:rPr>
        <w:t>%。主要原因是车辆保险费和运维费支出减少</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000000"/>
          <w:sz w:val="32"/>
          <w:szCs w:val="32"/>
        </w:rPr>
      </w:pPr>
      <w:r>
        <w:rPr>
          <w:rFonts w:hint="eastAsia" w:ascii="仿宋" w:hAnsi="仿宋" w:eastAsia="仿宋"/>
          <w:color w:val="000000"/>
          <w:sz w:val="32"/>
          <w:szCs w:val="32"/>
        </w:rPr>
        <w:t>其中：公务用车购置支出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r>
        <w:rPr>
          <w:rFonts w:hint="eastAsia" w:ascii="仿宋_GB2312" w:eastAsia="仿宋_GB2312"/>
          <w:color w:val="000000"/>
          <w:sz w:val="32"/>
          <w:szCs w:val="32"/>
        </w:rPr>
        <w:t>全年</w:t>
      </w:r>
      <w:r>
        <w:rPr>
          <w:rFonts w:hint="eastAsia" w:ascii="仿宋_GB2312" w:eastAsia="仿宋_GB2312"/>
          <w:color w:val="000000"/>
          <w:sz w:val="32"/>
          <w:szCs w:val="32"/>
          <w:lang w:eastAsia="zh-CN"/>
        </w:rPr>
        <w:t>未</w:t>
      </w:r>
      <w:r>
        <w:rPr>
          <w:rFonts w:hint="eastAsia" w:ascii="仿宋_GB2312" w:eastAsia="仿宋_GB2312"/>
          <w:color w:val="000000"/>
          <w:sz w:val="32"/>
          <w:szCs w:val="32"/>
        </w:rPr>
        <w:t>更新购置公务用车</w:t>
      </w:r>
      <w:r>
        <w:rPr>
          <w:rFonts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olor w:val="000000"/>
          <w:sz w:val="32"/>
          <w:szCs w:val="32"/>
        </w:rPr>
      </w:pPr>
      <w:r>
        <w:rPr>
          <w:rFonts w:hint="eastAsia" w:ascii="仿宋" w:hAnsi="仿宋" w:eastAsia="仿宋"/>
          <w:color w:val="000000"/>
          <w:sz w:val="32"/>
          <w:szCs w:val="32"/>
        </w:rPr>
        <w:t>公务用车运行维护费支出</w:t>
      </w:r>
      <w:r>
        <w:rPr>
          <w:rFonts w:hint="eastAsia" w:ascii="仿宋" w:hAnsi="仿宋" w:eastAsia="仿宋"/>
          <w:color w:val="000000"/>
          <w:sz w:val="32"/>
          <w:szCs w:val="32"/>
          <w:lang w:val="en-US" w:eastAsia="zh-CN"/>
        </w:rPr>
        <w:t>170.92</w:t>
      </w:r>
      <w:r>
        <w:rPr>
          <w:rFonts w:hint="eastAsia" w:ascii="仿宋" w:hAnsi="仿宋" w:eastAsia="仿宋"/>
          <w:color w:val="000000"/>
          <w:sz w:val="32"/>
          <w:szCs w:val="32"/>
        </w:rPr>
        <w:t>万元。</w:t>
      </w:r>
      <w:r>
        <w:rPr>
          <w:rFonts w:hint="eastAsia" w:ascii="仿宋_GB2312" w:eastAsia="仿宋_GB2312"/>
          <w:color w:val="000000"/>
          <w:sz w:val="32"/>
          <w:szCs w:val="32"/>
        </w:rPr>
        <w:t>主要用于</w:t>
      </w:r>
      <w:r>
        <w:rPr>
          <w:rFonts w:hint="eastAsia" w:ascii="仿宋_GB2312" w:eastAsia="仿宋_GB2312"/>
          <w:color w:val="000000"/>
          <w:sz w:val="32"/>
          <w:szCs w:val="32"/>
          <w:lang w:eastAsia="zh-CN"/>
        </w:rPr>
        <w:t>保障在职省领导和离退休省级干部、常委会执法检查、立法调研工作</w:t>
      </w:r>
      <w:r>
        <w:rPr>
          <w:rFonts w:hint="eastAsia" w:ascii="仿宋_GB2312" w:eastAsia="仿宋_GB2312"/>
          <w:color w:val="000000"/>
          <w:sz w:val="32"/>
          <w:szCs w:val="32"/>
        </w:rPr>
        <w:t>等所需的公务用车燃料费、维修费、过路过桥费、保险费等支出。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eastAsia="仿宋_GB2312"/>
          <w:color w:val="000000"/>
          <w:sz w:val="32"/>
          <w:szCs w:val="32"/>
          <w:lang w:eastAsia="zh-CN"/>
        </w:rPr>
      </w:pPr>
      <w:r>
        <w:rPr>
          <w:rFonts w:ascii="仿宋_GB2312" w:eastAsia="仿宋_GB2312"/>
          <w:b/>
          <w:color w:val="000000"/>
          <w:sz w:val="32"/>
          <w:szCs w:val="32"/>
        </w:rPr>
        <w:t>3.</w:t>
      </w:r>
      <w:r>
        <w:rPr>
          <w:rFonts w:hint="eastAsia" w:ascii="仿宋_GB2312" w:eastAsia="仿宋_GB2312"/>
          <w:color w:val="000000"/>
          <w:sz w:val="32"/>
          <w:szCs w:val="32"/>
          <w:lang w:eastAsia="zh-CN"/>
        </w:rPr>
        <w:t>公务接待费支出</w:t>
      </w:r>
      <w:r>
        <w:rPr>
          <w:rFonts w:hint="eastAsia" w:ascii="仿宋_GB2312" w:eastAsia="仿宋_GB2312"/>
          <w:color w:val="000000"/>
          <w:sz w:val="32"/>
          <w:szCs w:val="32"/>
          <w:lang w:val="en-US" w:eastAsia="zh-CN"/>
        </w:rPr>
        <w:t>14.84</w:t>
      </w:r>
      <w:r>
        <w:rPr>
          <w:rFonts w:hint="eastAsia" w:ascii="仿宋_GB2312" w:eastAsia="仿宋_GB2312"/>
          <w:color w:val="000000"/>
          <w:sz w:val="32"/>
          <w:szCs w:val="32"/>
          <w:lang w:eastAsia="zh-CN"/>
        </w:rPr>
        <w:t>万元，完成预算</w:t>
      </w:r>
      <w:r>
        <w:rPr>
          <w:rFonts w:hint="eastAsia" w:ascii="仿宋_GB2312" w:eastAsia="仿宋_GB2312"/>
          <w:color w:val="000000"/>
          <w:sz w:val="32"/>
          <w:szCs w:val="32"/>
          <w:lang w:val="en-US" w:eastAsia="zh-CN"/>
        </w:rPr>
        <w:t>29.68</w:t>
      </w:r>
      <w:r>
        <w:rPr>
          <w:rFonts w:hint="eastAsia" w:ascii="仿宋_GB2312" w:eastAsia="仿宋_GB2312"/>
          <w:color w:val="000000"/>
          <w:sz w:val="32"/>
          <w:szCs w:val="32"/>
          <w:lang w:eastAsia="zh-CN"/>
        </w:rPr>
        <w:t>%。公务接待费支出决算比2018年增加</w:t>
      </w:r>
      <w:r>
        <w:rPr>
          <w:rFonts w:hint="eastAsia" w:ascii="仿宋_GB2312" w:eastAsia="仿宋_GB2312"/>
          <w:color w:val="000000"/>
          <w:sz w:val="32"/>
          <w:szCs w:val="32"/>
          <w:lang w:val="en-US" w:eastAsia="zh-CN"/>
        </w:rPr>
        <w:t>1.67</w:t>
      </w:r>
      <w:r>
        <w:rPr>
          <w:rFonts w:hint="eastAsia" w:ascii="仿宋_GB2312" w:eastAsia="仿宋_GB2312"/>
          <w:color w:val="000000"/>
          <w:sz w:val="32"/>
          <w:szCs w:val="32"/>
          <w:lang w:eastAsia="zh-CN"/>
        </w:rPr>
        <w:t>万元，增长</w:t>
      </w:r>
      <w:r>
        <w:rPr>
          <w:rFonts w:hint="eastAsia" w:ascii="仿宋_GB2312" w:eastAsia="仿宋_GB2312"/>
          <w:color w:val="000000"/>
          <w:sz w:val="32"/>
          <w:szCs w:val="32"/>
          <w:lang w:val="en-US" w:eastAsia="zh-CN"/>
        </w:rPr>
        <w:t>12.68</w:t>
      </w:r>
      <w:r>
        <w:rPr>
          <w:rFonts w:hint="eastAsia" w:ascii="仿宋_GB2312" w:eastAsia="仿宋_GB2312"/>
          <w:color w:val="000000"/>
          <w:sz w:val="32"/>
          <w:szCs w:val="32"/>
          <w:lang w:eastAsia="zh-CN"/>
        </w:rPr>
        <w:t>%。主要原因是公务接待人次增加。其中：</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仿宋_GB2312" w:eastAsia="仿宋_GB2312"/>
          <w:color w:val="000000"/>
          <w:sz w:val="32"/>
          <w:szCs w:val="32"/>
        </w:rPr>
      </w:pPr>
      <w:r>
        <w:rPr>
          <w:rFonts w:hint="eastAsia" w:ascii="仿宋_GB2312" w:eastAsia="仿宋_GB2312"/>
          <w:color w:val="000000"/>
          <w:sz w:val="32"/>
          <w:szCs w:val="32"/>
          <w:lang w:eastAsia="zh-CN"/>
        </w:rPr>
        <w:t>国内公务接待支出</w:t>
      </w:r>
      <w:r>
        <w:rPr>
          <w:rFonts w:hint="eastAsia" w:ascii="仿宋_GB2312" w:eastAsia="仿宋_GB2312"/>
          <w:color w:val="000000"/>
          <w:sz w:val="32"/>
          <w:szCs w:val="32"/>
          <w:lang w:val="en-US" w:eastAsia="zh-CN"/>
        </w:rPr>
        <w:t>14.84</w:t>
      </w:r>
      <w:r>
        <w:rPr>
          <w:rFonts w:hint="eastAsia" w:ascii="仿宋_GB2312" w:eastAsia="仿宋_GB2312"/>
          <w:color w:val="000000"/>
          <w:sz w:val="32"/>
          <w:szCs w:val="32"/>
          <w:lang w:eastAsia="zh-CN"/>
        </w:rPr>
        <w:t>万</w:t>
      </w:r>
      <w:r>
        <w:rPr>
          <w:rFonts w:hint="eastAsia" w:ascii="仿宋_GB2312" w:eastAsia="仿宋_GB2312"/>
          <w:color w:val="000000"/>
          <w:sz w:val="32"/>
          <w:szCs w:val="32"/>
        </w:rPr>
        <w:t>元，主要用于</w:t>
      </w:r>
      <w:r>
        <w:rPr>
          <w:rFonts w:hint="eastAsia" w:ascii="仿宋_GB2312" w:eastAsia="仿宋_GB2312"/>
          <w:color w:val="000000"/>
          <w:sz w:val="32"/>
          <w:szCs w:val="32"/>
          <w:lang w:eastAsia="zh-CN"/>
        </w:rPr>
        <w:t>日常接待开支</w:t>
      </w:r>
      <w:r>
        <w:rPr>
          <w:rFonts w:hint="eastAsia" w:ascii="仿宋_GB2312" w:eastAsia="仿宋_GB2312"/>
          <w:color w:val="000000"/>
          <w:sz w:val="32"/>
          <w:szCs w:val="32"/>
        </w:rPr>
        <w:t>的交通费、住宿费、用餐费等。国内公务接待</w:t>
      </w:r>
      <w:r>
        <w:rPr>
          <w:rFonts w:hint="eastAsia" w:ascii="仿宋_GB2312" w:eastAsia="仿宋_GB2312"/>
          <w:color w:val="000000"/>
          <w:sz w:val="32"/>
          <w:szCs w:val="32"/>
          <w:lang w:val="en-US" w:eastAsia="zh-CN"/>
        </w:rPr>
        <w:t>95</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469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14.84</w:t>
      </w:r>
      <w:r>
        <w:rPr>
          <w:rFonts w:hint="eastAsia" w:ascii="仿宋_GB2312" w:eastAsia="仿宋_GB2312"/>
          <w:color w:val="000000"/>
          <w:sz w:val="32"/>
          <w:szCs w:val="32"/>
        </w:rPr>
        <w:t>万元，具体内容包括：接待全国人大来川调研、接待兄弟省市来川调研和接待下级单位汇报工作。</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eastAsia="仿宋_GB2312"/>
          <w:color w:val="000000"/>
          <w:sz w:val="32"/>
          <w:szCs w:val="32"/>
        </w:rPr>
      </w:pPr>
      <w:r>
        <w:rPr>
          <w:rFonts w:hint="eastAsia" w:ascii="仿宋_GB2312" w:eastAsia="仿宋_GB2312"/>
          <w:color w:val="000000"/>
          <w:sz w:val="32"/>
          <w:szCs w:val="32"/>
        </w:rPr>
        <w:t>外事接待支出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54" w:name="_Toc15396610"/>
      <w:bookmarkStart w:id="55" w:name="_Toc15377218"/>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54"/>
      <w:bookmarkEnd w:id="5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3"/>
        </w:numPr>
        <w:spacing w:line="600" w:lineRule="exact"/>
        <w:ind w:firstLine="640"/>
        <w:outlineLvl w:val="1"/>
        <w:rPr>
          <w:rStyle w:val="27"/>
          <w:rFonts w:ascii="黑体" w:hAnsi="黑体" w:eastAsia="黑体"/>
          <w:b w:val="0"/>
        </w:rPr>
      </w:pPr>
      <w:bookmarkStart w:id="56" w:name="_Toc15377219"/>
      <w:bookmarkStart w:id="57" w:name="_Toc15396611"/>
      <w:r>
        <w:rPr>
          <w:rStyle w:val="27"/>
          <w:rFonts w:hint="eastAsia" w:ascii="黑体" w:hAnsi="黑体" w:eastAsia="黑体"/>
          <w:b w:val="0"/>
        </w:rPr>
        <w:t>国有资本经营预算支出决算情况说明</w:t>
      </w:r>
      <w:bookmarkEnd w:id="56"/>
      <w:bookmarkEnd w:id="5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7"/>
          <w:rFonts w:ascii="黑体" w:hAnsi="黑体" w:eastAsia="黑体"/>
        </w:rPr>
      </w:pPr>
      <w:bookmarkStart w:id="58" w:name="_Toc15396612"/>
      <w:bookmarkStart w:id="59"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8"/>
      <w:bookmarkEnd w:id="59"/>
    </w:p>
    <w:p>
      <w:pPr>
        <w:spacing w:line="600" w:lineRule="exact"/>
        <w:ind w:firstLine="643" w:firstLineChars="200"/>
        <w:outlineLvl w:val="2"/>
        <w:rPr>
          <w:rFonts w:ascii="仿宋" w:hAnsi="仿宋" w:eastAsia="仿宋"/>
          <w:color w:val="000000"/>
          <w:sz w:val="32"/>
          <w:szCs w:val="32"/>
        </w:rPr>
      </w:pPr>
      <w:bookmarkStart w:id="60" w:name="_Toc15377222"/>
      <w:r>
        <w:rPr>
          <w:rFonts w:hint="eastAsia" w:ascii="仿宋" w:hAnsi="仿宋" w:eastAsia="仿宋"/>
          <w:b/>
          <w:color w:val="000000"/>
          <w:sz w:val="32"/>
          <w:szCs w:val="32"/>
        </w:rPr>
        <w:t>（一）机关运行经费支出情况</w:t>
      </w:r>
      <w:bookmarkEnd w:id="60"/>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省人大常委会</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4539.29</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1241.5</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21.48</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人代会会议支出、培训费和日常维修支出减少。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1" w:name="_Toc15377223"/>
      <w:r>
        <w:rPr>
          <w:rFonts w:hint="eastAsia" w:ascii="仿宋" w:hAnsi="仿宋" w:eastAsia="仿宋"/>
          <w:b/>
          <w:color w:val="000000"/>
          <w:sz w:val="32"/>
          <w:szCs w:val="32"/>
        </w:rPr>
        <w:t>（二）政府采购支出情况</w:t>
      </w:r>
      <w:bookmarkEnd w:id="6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省人大常委会办公厅</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2415.82</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337.77</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465.95</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1612.1</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会议服务、维修项目和物业管理项目采购</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950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39.32</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950</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39.32</w:t>
      </w:r>
      <w:r>
        <w:rPr>
          <w:rFonts w:ascii="仿宋_GB2312" w:eastAsia="仿宋_GB2312"/>
          <w:color w:val="000000"/>
          <w:sz w:val="32"/>
          <w:szCs w:val="32"/>
        </w:rPr>
        <w:t>%</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62" w:name="_Toc15377224"/>
      <w:r>
        <w:rPr>
          <w:rFonts w:hint="eastAsia" w:ascii="仿宋" w:hAnsi="仿宋" w:eastAsia="仿宋"/>
          <w:b/>
          <w:color w:val="000000"/>
          <w:sz w:val="32"/>
          <w:szCs w:val="32"/>
        </w:rPr>
        <w:t>（三）国有资产占有使用情况</w:t>
      </w:r>
      <w:bookmarkEnd w:id="6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省人大常委会办公厅</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36</w:t>
      </w:r>
      <w:r>
        <w:rPr>
          <w:rFonts w:hint="eastAsia" w:ascii="仿宋_GB2312" w:eastAsia="仿宋_GB2312"/>
          <w:color w:val="000000"/>
          <w:sz w:val="32"/>
          <w:szCs w:val="32"/>
        </w:rPr>
        <w:t>辆，其中：</w:t>
      </w:r>
      <w:r>
        <w:rPr>
          <w:rFonts w:hint="eastAsia" w:ascii="仿宋_GB2312" w:eastAsia="仿宋_GB2312"/>
          <w:color w:val="000000"/>
          <w:sz w:val="32"/>
          <w:szCs w:val="32"/>
          <w:lang w:eastAsia="zh-CN"/>
        </w:rPr>
        <w:t>副部（省）级以上领导用车</w:t>
      </w:r>
      <w:r>
        <w:rPr>
          <w:rFonts w:hint="eastAsia" w:ascii="仿宋_GB2312" w:eastAsia="仿宋_GB2312"/>
          <w:color w:val="000000"/>
          <w:sz w:val="32"/>
          <w:szCs w:val="32"/>
          <w:lang w:val="en-US" w:eastAsia="zh-CN"/>
        </w:rPr>
        <w:t>13辆，</w:t>
      </w:r>
      <w:r>
        <w:rPr>
          <w:rFonts w:hint="eastAsia" w:ascii="仿宋_GB2312" w:eastAsia="仿宋_GB2312"/>
          <w:color w:val="000000"/>
          <w:sz w:val="32"/>
          <w:szCs w:val="32"/>
        </w:rPr>
        <w:t>主要领导干部用车</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其他用车主要是用于退休副省级领导看病就医、履行公务保障用车。单价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万元以上通用设备4台（套），单价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本部门按要求对2019年部门整体支出开展绩效自评，从评价情况来看省人大办公厅201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年度部门整体绩效</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val="en-US" w:eastAsia="zh-CN"/>
        </w:rPr>
        <w:t>95.71</w:t>
      </w:r>
      <w:r>
        <w:rPr>
          <w:rFonts w:hint="eastAsia" w:ascii="仿宋_GB2312" w:hAnsi="仿宋_GB2312" w:eastAsia="仿宋_GB2312" w:cs="仿宋_GB2312"/>
          <w:sz w:val="32"/>
          <w:szCs w:val="32"/>
        </w:rPr>
        <w:t>分。省人大办公厅对各项专项经费的使用是以达到财政资金使用效益最大化为前提，以实现专项项目年初预算绩效目标为目的，不断改进财务管理，优化部门支出结构，加快预算执行进度，充分发挥资金使用效益。根据部门自评，省人大办公厅采取了有效的资金使用管理措施，各项资金使用严格履行审批程序，资金使用达到了预期效果，较好的服务和保障了省人大常委会圆满完成年度立法工作、监督工作、调研工作以及代表工作，实现了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财政预算支出的绩效目标。本部门还自行组织了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个项目支出</w:t>
      </w:r>
      <w:r>
        <w:rPr>
          <w:rFonts w:hint="eastAsia" w:ascii="仿宋_GB2312" w:hAnsi="仿宋_GB2312" w:eastAsia="仿宋_GB2312" w:cs="仿宋_GB2312"/>
          <w:sz w:val="32"/>
          <w:szCs w:val="32"/>
          <w:lang w:eastAsia="zh-CN"/>
        </w:rPr>
        <w:t>集中</w:t>
      </w:r>
      <w:r>
        <w:rPr>
          <w:rFonts w:hint="eastAsia" w:ascii="仿宋_GB2312" w:hAnsi="仿宋_GB2312" w:eastAsia="仿宋_GB2312" w:cs="仿宋_GB2312"/>
          <w:sz w:val="32"/>
          <w:szCs w:val="32"/>
        </w:rPr>
        <w:t>绩效评价，从评价情况来看项目预算绩效目标完成情况良好，经济效益、社会效益、可持续性以及满意度指标的实现程度达到预期</w:t>
      </w:r>
      <w:r>
        <w:rPr>
          <w:rFonts w:hint="eastAsia" w:ascii="仿宋_GB2312" w:hAnsi="仿宋_GB2312" w:eastAsia="仿宋_GB2312" w:cs="仿宋_GB2312"/>
          <w:sz w:val="32"/>
          <w:szCs w:val="32"/>
          <w:lang w:eastAsia="zh-CN"/>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信息化建设及运行维护费</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代表视察工作经费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代表履职能力提升经费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“监督检查专项工作经费”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信息化建设及运行维护</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130.72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130.72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%。通过项目实施，保障省人大机关信息网络及设备安全、稳定、高效运行、数据保密、推行无纸化办公，实现科学化管控。发现的主要问题：</w:t>
      </w:r>
      <w:r>
        <w:rPr>
          <w:rFonts w:hint="eastAsia" w:ascii="仿宋_GB2312" w:hAnsi="仿宋_GB2312" w:eastAsia="仿宋_GB2312" w:cs="仿宋_GB2312"/>
          <w:sz w:val="32"/>
          <w:szCs w:val="32"/>
          <w:lang w:eastAsia="zh-CN"/>
        </w:rPr>
        <w:t>预算中期调整金额较大，预算编制精确度不够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进一步充分收集部门信息，做好预算的精细化管理。</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代表视察工作经费项目</w:t>
      </w:r>
      <w:r>
        <w:rPr>
          <w:rFonts w:hint="eastAsia" w:ascii="仿宋_GB2312" w:hAnsi="仿宋_GB2312" w:eastAsia="仿宋_GB2312" w:cs="仿宋_GB2312"/>
          <w:sz w:val="32"/>
          <w:szCs w:val="32"/>
        </w:rPr>
        <w:t>绩效目标完成情况综述。项目全年预算数</w:t>
      </w:r>
      <w:r>
        <w:rPr>
          <w:rFonts w:hint="eastAsia" w:ascii="仿宋_GB2312" w:hAnsi="仿宋_GB2312" w:eastAsia="仿宋_GB2312" w:cs="仿宋_GB2312"/>
          <w:sz w:val="32"/>
          <w:szCs w:val="32"/>
          <w:lang w:val="en-US" w:eastAsia="zh-CN"/>
        </w:rPr>
        <w:t>404.4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404.4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%。通过项目实施，保障委托21个市州人大常委会，省军区政治部组织省人大代表开展专题调研、集中观察；省人大常委会围绕全省工作重点，进行专题视察调研，切实保障人民意志充分体现。</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代表履职能力提升</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171.6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171.59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99.99</w:t>
      </w:r>
      <w:r>
        <w:rPr>
          <w:rFonts w:hint="eastAsia" w:ascii="仿宋_GB2312" w:hAnsi="仿宋_GB2312" w:eastAsia="仿宋_GB2312" w:cs="仿宋_GB2312"/>
          <w:sz w:val="32"/>
          <w:szCs w:val="32"/>
        </w:rPr>
        <w:t>%。通过项目实施，保障健全代表履职保障机制，全面提升人大代表履职能力，夯实代表履职基础，充分发挥代表作用。</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监督检查专项经费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192.85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192.85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%。通过项目实施，保障执法检查、专题询问、法律法规备案审查和工作评议、预决算审查等形式，履行人大监督职能，加强和改进监督工作，推动全省各项工作在法治轨道上有序运行。发现的主要问题：</w:t>
      </w:r>
      <w:r>
        <w:rPr>
          <w:rFonts w:hint="eastAsia" w:ascii="仿宋_GB2312" w:hAnsi="仿宋_GB2312" w:eastAsia="仿宋_GB2312" w:cs="仿宋_GB2312"/>
          <w:sz w:val="32"/>
          <w:szCs w:val="32"/>
          <w:lang w:eastAsia="zh-CN"/>
        </w:rPr>
        <w:t>预算中期调整金额较大，预算编制精确度不够</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进一步充分收集年度重要工作计划和安排，做好预算提前筹划。</w:t>
      </w: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11064" w:type="dxa"/>
        <w:jc w:val="center"/>
        <w:tblLayout w:type="fixed"/>
        <w:tblCellMar>
          <w:top w:w="0" w:type="dxa"/>
          <w:left w:w="0" w:type="dxa"/>
          <w:bottom w:w="0" w:type="dxa"/>
          <w:right w:w="0" w:type="dxa"/>
        </w:tblCellMar>
      </w:tblPr>
      <w:tblGrid>
        <w:gridCol w:w="760"/>
        <w:gridCol w:w="210"/>
        <w:gridCol w:w="995"/>
        <w:gridCol w:w="341"/>
        <w:gridCol w:w="1454"/>
        <w:gridCol w:w="23"/>
        <w:gridCol w:w="1823"/>
        <w:gridCol w:w="9"/>
        <w:gridCol w:w="1953"/>
        <w:gridCol w:w="796"/>
        <w:gridCol w:w="2513"/>
        <w:gridCol w:w="187"/>
      </w:tblGrid>
      <w:tr>
        <w:tblPrEx>
          <w:tblCellMar>
            <w:top w:w="0" w:type="dxa"/>
            <w:left w:w="0" w:type="dxa"/>
            <w:bottom w:w="0" w:type="dxa"/>
            <w:right w:w="0" w:type="dxa"/>
          </w:tblCellMar>
        </w:tblPrEx>
        <w:trPr>
          <w:gridAfter w:val="1"/>
          <w:wAfter w:w="187" w:type="dxa"/>
          <w:trHeight w:val="1034" w:hRule="atLeast"/>
          <w:jc w:val="center"/>
        </w:trPr>
        <w:tc>
          <w:tcPr>
            <w:tcW w:w="10877"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gridAfter w:val="1"/>
          <w:wAfter w:w="187" w:type="dxa"/>
          <w:trHeight w:val="276" w:hRule="atLeast"/>
          <w:jc w:val="center"/>
        </w:trPr>
        <w:tc>
          <w:tcPr>
            <w:tcW w:w="37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1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方正仿宋简体" w:hAnsi="仿宋" w:eastAsia="方正仿宋简体"/>
                <w:b/>
                <w:sz w:val="28"/>
                <w:szCs w:val="28"/>
              </w:rPr>
              <w:t>信息化建设及运行维护费</w:t>
            </w:r>
          </w:p>
        </w:tc>
      </w:tr>
      <w:tr>
        <w:tblPrEx>
          <w:tblCellMar>
            <w:top w:w="0" w:type="dxa"/>
            <w:left w:w="0" w:type="dxa"/>
            <w:bottom w:w="0" w:type="dxa"/>
            <w:right w:w="0" w:type="dxa"/>
          </w:tblCellMar>
        </w:tblPrEx>
        <w:trPr>
          <w:gridAfter w:val="1"/>
          <w:wAfter w:w="187" w:type="dxa"/>
          <w:trHeight w:val="276" w:hRule="atLeast"/>
          <w:jc w:val="center"/>
        </w:trPr>
        <w:tc>
          <w:tcPr>
            <w:tcW w:w="376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17"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四川省人大常委会办公厅</w:t>
            </w:r>
          </w:p>
        </w:tc>
      </w:tr>
      <w:tr>
        <w:tblPrEx>
          <w:tblCellMar>
            <w:top w:w="0" w:type="dxa"/>
            <w:left w:w="0" w:type="dxa"/>
            <w:bottom w:w="0" w:type="dxa"/>
            <w:right w:w="0" w:type="dxa"/>
          </w:tblCellMar>
        </w:tblPrEx>
        <w:trPr>
          <w:gridAfter w:val="1"/>
          <w:wAfter w:w="187" w:type="dxa"/>
          <w:trHeight w:val="276" w:hRule="atLeast"/>
          <w:jc w:val="center"/>
        </w:trPr>
        <w:tc>
          <w:tcPr>
            <w:tcW w:w="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130.72</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执行数:</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130.72</w:t>
            </w:r>
          </w:p>
        </w:tc>
      </w:tr>
      <w:tr>
        <w:tblPrEx>
          <w:tblCellMar>
            <w:top w:w="0" w:type="dxa"/>
            <w:left w:w="0" w:type="dxa"/>
            <w:bottom w:w="0" w:type="dxa"/>
            <w:right w:w="0" w:type="dxa"/>
          </w:tblCellMar>
        </w:tblPrEx>
        <w:trPr>
          <w:gridAfter w:val="1"/>
          <w:wAfter w:w="187" w:type="dxa"/>
          <w:trHeight w:val="276" w:hRule="atLeast"/>
          <w:jc w:val="center"/>
        </w:trPr>
        <w:tc>
          <w:tcPr>
            <w:tcW w:w="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130.72</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其中-财政拨款:</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lang w:val="en-US" w:eastAsia="zh-CN"/>
              </w:rPr>
              <w:t>130.72</w:t>
            </w:r>
          </w:p>
        </w:tc>
      </w:tr>
      <w:tr>
        <w:tblPrEx>
          <w:tblCellMar>
            <w:top w:w="0" w:type="dxa"/>
            <w:left w:w="0" w:type="dxa"/>
            <w:bottom w:w="0" w:type="dxa"/>
            <w:right w:w="0" w:type="dxa"/>
          </w:tblCellMar>
        </w:tblPrEx>
        <w:trPr>
          <w:gridAfter w:val="1"/>
          <w:wAfter w:w="187" w:type="dxa"/>
          <w:trHeight w:val="413" w:hRule="atLeast"/>
          <w:jc w:val="center"/>
        </w:trPr>
        <w:tc>
          <w:tcPr>
            <w:tcW w:w="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79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其它资金:</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gridAfter w:val="1"/>
          <w:wAfter w:w="187" w:type="dxa"/>
          <w:trHeight w:val="276" w:hRule="atLeast"/>
          <w:jc w:val="center"/>
        </w:trPr>
        <w:tc>
          <w:tcPr>
            <w:tcW w:w="970"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4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预期目标</w:t>
            </w:r>
          </w:p>
        </w:tc>
        <w:tc>
          <w:tcPr>
            <w:tcW w:w="52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实际完成目标</w:t>
            </w:r>
          </w:p>
        </w:tc>
      </w:tr>
      <w:tr>
        <w:tblPrEx>
          <w:tblCellMar>
            <w:top w:w="0" w:type="dxa"/>
            <w:left w:w="0" w:type="dxa"/>
            <w:bottom w:w="0" w:type="dxa"/>
            <w:right w:w="0" w:type="dxa"/>
          </w:tblCellMar>
        </w:tblPrEx>
        <w:trPr>
          <w:gridAfter w:val="1"/>
          <w:wAfter w:w="187" w:type="dxa"/>
          <w:trHeight w:val="1159" w:hRule="atLeast"/>
          <w:jc w:val="center"/>
        </w:trPr>
        <w:tc>
          <w:tcPr>
            <w:tcW w:w="970"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64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rPr>
              <w:t>保障省人大机关信息网络及设备安全、稳定、高效运行、数据保密、推行无纸化办公，实现科学化管控</w:t>
            </w:r>
            <w:r>
              <w:rPr>
                <w:rFonts w:hint="eastAsia" w:ascii="宋体" w:hAnsi="宋体" w:cs="宋体"/>
                <w:color w:val="000000"/>
                <w:sz w:val="24"/>
                <w:lang w:eastAsia="zh-CN"/>
              </w:rPr>
              <w:t>。</w:t>
            </w:r>
          </w:p>
        </w:tc>
        <w:tc>
          <w:tcPr>
            <w:tcW w:w="526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rPr>
              <w:t>通过保障人代会和常委会速录、机关机房网络及电脑终端系统、会议系统、综合信息系统、档案数字化项目、财经会议系统、代表履职服务平台、财务信息化平台、预决算审查平台等项目，确保人大各项工作顺利进行。</w:t>
            </w:r>
          </w:p>
        </w:tc>
      </w:tr>
      <w:tr>
        <w:tblPrEx>
          <w:tblCellMar>
            <w:top w:w="0" w:type="dxa"/>
            <w:left w:w="0" w:type="dxa"/>
            <w:bottom w:w="0" w:type="dxa"/>
            <w:right w:w="0" w:type="dxa"/>
          </w:tblCellMar>
        </w:tblPrEx>
        <w:trPr>
          <w:gridAfter w:val="1"/>
          <w:wAfter w:w="187" w:type="dxa"/>
          <w:trHeight w:val="1046" w:hRule="atLeast"/>
          <w:jc w:val="center"/>
        </w:trPr>
        <w:tc>
          <w:tcPr>
            <w:tcW w:w="970"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三级指标</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预期指标值(包含数字及文字描述)</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实际完成指标值(包含数字及文字描述)</w:t>
            </w:r>
          </w:p>
        </w:tc>
      </w:tr>
      <w:tr>
        <w:tblPrEx>
          <w:tblCellMar>
            <w:top w:w="0" w:type="dxa"/>
            <w:left w:w="0" w:type="dxa"/>
            <w:bottom w:w="0" w:type="dxa"/>
            <w:right w:w="0" w:type="dxa"/>
          </w:tblCellMar>
        </w:tblPrEx>
        <w:trPr>
          <w:gridAfter w:val="1"/>
          <w:wAfter w:w="187" w:type="dxa"/>
          <w:trHeight w:val="953" w:hRule="atLeast"/>
          <w:jc w:val="center"/>
        </w:trPr>
        <w:tc>
          <w:tcPr>
            <w:tcW w:w="97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完成机关信息化系统维护</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项目个数</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rPr>
              <w:t>≥8个</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已完成</w:t>
            </w:r>
            <w:r>
              <w:rPr>
                <w:rFonts w:hint="eastAsia" w:ascii="宋体" w:hAnsi="宋体" w:cs="宋体"/>
                <w:color w:val="000000"/>
                <w:sz w:val="24"/>
                <w:lang w:val="en-US" w:eastAsia="zh-CN"/>
              </w:rPr>
              <w:t>9</w:t>
            </w:r>
            <w:r>
              <w:rPr>
                <w:rFonts w:hint="eastAsia" w:ascii="宋体" w:hAnsi="宋体" w:cs="宋体"/>
                <w:color w:val="000000"/>
                <w:sz w:val="24"/>
              </w:rPr>
              <w:t>个维护项目款项支付</w:t>
            </w:r>
          </w:p>
        </w:tc>
      </w:tr>
      <w:tr>
        <w:tblPrEx>
          <w:tblCellMar>
            <w:top w:w="0" w:type="dxa"/>
            <w:left w:w="0" w:type="dxa"/>
            <w:bottom w:w="0" w:type="dxa"/>
            <w:right w:w="0" w:type="dxa"/>
          </w:tblCellMar>
        </w:tblPrEx>
        <w:trPr>
          <w:gridAfter w:val="1"/>
          <w:wAfter w:w="187" w:type="dxa"/>
          <w:trHeight w:val="641" w:hRule="atLeast"/>
          <w:jc w:val="center"/>
        </w:trPr>
        <w:tc>
          <w:tcPr>
            <w:tcW w:w="97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rPr>
              <w:t>完成</w:t>
            </w:r>
            <w:r>
              <w:rPr>
                <w:rFonts w:hint="eastAsia" w:ascii="宋体" w:hAnsi="宋体" w:cs="宋体"/>
                <w:color w:val="000000"/>
                <w:sz w:val="24"/>
                <w:lang w:eastAsia="zh-CN"/>
              </w:rPr>
              <w:t>进度</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 xml:space="preserve">   </w:t>
            </w:r>
            <w:r>
              <w:rPr>
                <w:rFonts w:hint="eastAsia" w:ascii="宋体" w:hAnsi="宋体" w:cs="宋体"/>
                <w:color w:val="000000"/>
                <w:sz w:val="24"/>
              </w:rPr>
              <w:t>项目完成时间</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rPr>
              <w:t>2019年12月前</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按进度完成</w:t>
            </w:r>
          </w:p>
        </w:tc>
      </w:tr>
      <w:tr>
        <w:tblPrEx>
          <w:tblCellMar>
            <w:top w:w="0" w:type="dxa"/>
            <w:left w:w="0" w:type="dxa"/>
            <w:bottom w:w="0" w:type="dxa"/>
            <w:right w:w="0" w:type="dxa"/>
          </w:tblCellMar>
        </w:tblPrEx>
        <w:trPr>
          <w:gridAfter w:val="1"/>
          <w:wAfter w:w="187" w:type="dxa"/>
          <w:trHeight w:val="640" w:hRule="atLeast"/>
          <w:jc w:val="center"/>
        </w:trPr>
        <w:tc>
          <w:tcPr>
            <w:tcW w:w="97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完成成本</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 xml:space="preserve">   </w:t>
            </w:r>
            <w:r>
              <w:rPr>
                <w:rFonts w:hint="eastAsia" w:ascii="宋体" w:hAnsi="宋体" w:cs="宋体"/>
                <w:color w:val="000000"/>
                <w:sz w:val="24"/>
              </w:rPr>
              <w:t>项目维护成本</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rPr>
              <w:t>预算内</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所有项目在预算内支付</w:t>
            </w:r>
          </w:p>
        </w:tc>
      </w:tr>
      <w:tr>
        <w:tblPrEx>
          <w:tblCellMar>
            <w:top w:w="0" w:type="dxa"/>
            <w:left w:w="0" w:type="dxa"/>
            <w:bottom w:w="0" w:type="dxa"/>
            <w:right w:w="0" w:type="dxa"/>
          </w:tblCellMar>
        </w:tblPrEx>
        <w:trPr>
          <w:gridAfter w:val="1"/>
          <w:wAfter w:w="187" w:type="dxa"/>
          <w:trHeight w:val="582" w:hRule="atLeast"/>
          <w:jc w:val="center"/>
        </w:trPr>
        <w:tc>
          <w:tcPr>
            <w:tcW w:w="97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可持续性</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both"/>
              <w:textAlignment w:val="center"/>
              <w:rPr>
                <w:rFonts w:hint="eastAsia" w:ascii="宋体" w:hAnsi="宋体" w:cs="宋体"/>
                <w:color w:val="000000"/>
                <w:sz w:val="24"/>
              </w:rPr>
            </w:pPr>
            <w:r>
              <w:rPr>
                <w:rFonts w:hint="eastAsia" w:ascii="宋体" w:hAnsi="宋体" w:cs="宋体"/>
                <w:color w:val="000000"/>
                <w:sz w:val="24"/>
              </w:rPr>
              <w:t>持续年度</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rPr>
              <w:t>常年</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常年</w:t>
            </w:r>
          </w:p>
        </w:tc>
      </w:tr>
      <w:tr>
        <w:tblPrEx>
          <w:tblCellMar>
            <w:top w:w="0" w:type="dxa"/>
            <w:left w:w="0" w:type="dxa"/>
            <w:bottom w:w="0" w:type="dxa"/>
            <w:right w:w="0" w:type="dxa"/>
          </w:tblCellMar>
        </w:tblPrEx>
        <w:trPr>
          <w:gridAfter w:val="1"/>
          <w:wAfter w:w="187" w:type="dxa"/>
          <w:trHeight w:val="664" w:hRule="atLeast"/>
          <w:jc w:val="center"/>
        </w:trPr>
        <w:tc>
          <w:tcPr>
            <w:tcW w:w="97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项目维护及时度</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维护响应时间</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24小时内响应</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在24小时内及时响应</w:t>
            </w:r>
          </w:p>
        </w:tc>
      </w:tr>
      <w:tr>
        <w:tblPrEx>
          <w:tblCellMar>
            <w:top w:w="0" w:type="dxa"/>
            <w:left w:w="0" w:type="dxa"/>
            <w:bottom w:w="0" w:type="dxa"/>
            <w:right w:w="0" w:type="dxa"/>
          </w:tblCellMar>
        </w:tblPrEx>
        <w:trPr>
          <w:gridAfter w:val="1"/>
          <w:wAfter w:w="187" w:type="dxa"/>
          <w:trHeight w:val="757" w:hRule="atLeast"/>
          <w:jc w:val="center"/>
        </w:trPr>
        <w:tc>
          <w:tcPr>
            <w:tcW w:w="97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对工作的促进作用</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规范档案管理</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规范档案整理，有效保存工作资料，方便档案查询。</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完成201</w:t>
            </w:r>
            <w:r>
              <w:rPr>
                <w:rFonts w:hint="eastAsia" w:ascii="宋体" w:hAnsi="宋体" w:cs="宋体"/>
                <w:color w:val="000000"/>
                <w:sz w:val="24"/>
                <w:lang w:val="en-US" w:eastAsia="zh-CN"/>
              </w:rPr>
              <w:t>8</w:t>
            </w:r>
            <w:r>
              <w:rPr>
                <w:rFonts w:hint="eastAsia" w:ascii="宋体" w:hAnsi="宋体" w:cs="宋体"/>
                <w:color w:val="000000"/>
                <w:sz w:val="24"/>
                <w:lang w:eastAsia="zh-CN"/>
              </w:rPr>
              <w:t>年度档案数字化工作。</w:t>
            </w:r>
          </w:p>
        </w:tc>
      </w:tr>
      <w:tr>
        <w:tblPrEx>
          <w:tblCellMar>
            <w:top w:w="0" w:type="dxa"/>
            <w:left w:w="0" w:type="dxa"/>
            <w:bottom w:w="0" w:type="dxa"/>
            <w:right w:w="0" w:type="dxa"/>
          </w:tblCellMar>
        </w:tblPrEx>
        <w:trPr>
          <w:gridAfter w:val="1"/>
          <w:wAfter w:w="187" w:type="dxa"/>
          <w:trHeight w:val="954" w:hRule="atLeast"/>
          <w:jc w:val="center"/>
        </w:trPr>
        <w:tc>
          <w:tcPr>
            <w:tcW w:w="97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对工作的促进作用</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促进信息公开</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推进省人大常委会及办公厅工作相关信息公开。</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保障了省人大官方网站及APP维护，及时公开省人大工作相关信息。</w:t>
            </w:r>
          </w:p>
        </w:tc>
      </w:tr>
      <w:tr>
        <w:tblPrEx>
          <w:tblCellMar>
            <w:top w:w="0" w:type="dxa"/>
            <w:left w:w="0" w:type="dxa"/>
            <w:bottom w:w="0" w:type="dxa"/>
            <w:right w:w="0" w:type="dxa"/>
          </w:tblCellMar>
        </w:tblPrEx>
        <w:trPr>
          <w:gridAfter w:val="1"/>
          <w:wAfter w:w="187" w:type="dxa"/>
          <w:trHeight w:val="867" w:hRule="atLeast"/>
          <w:jc w:val="center"/>
        </w:trPr>
        <w:tc>
          <w:tcPr>
            <w:tcW w:w="970" w:type="dxa"/>
            <w:gridSpan w:val="2"/>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对环境的保护作用</w:t>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减少有纸化办公</w:t>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常委会会议印制纸质文件量减少45%。</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对环境的保护作用</w:t>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减少有纸化办公</w:t>
            </w:r>
          </w:p>
        </w:tc>
      </w:tr>
      <w:tr>
        <w:tblPrEx>
          <w:tblCellMar>
            <w:top w:w="0" w:type="dxa"/>
            <w:left w:w="0" w:type="dxa"/>
            <w:bottom w:w="0" w:type="dxa"/>
            <w:right w:w="0" w:type="dxa"/>
          </w:tblCellMar>
        </w:tblPrEx>
        <w:trPr>
          <w:gridAfter w:val="1"/>
          <w:wAfter w:w="187" w:type="dxa"/>
          <w:trHeight w:val="671" w:hRule="atLeast"/>
          <w:jc w:val="center"/>
        </w:trPr>
        <w:tc>
          <w:tcPr>
            <w:tcW w:w="970" w:type="dxa"/>
            <w:gridSpan w:val="2"/>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服务对象满意度</w:t>
            </w:r>
            <w:r>
              <w:rPr>
                <w:rFonts w:hint="eastAsia" w:ascii="宋体" w:hAnsi="宋体" w:cs="宋体"/>
                <w:color w:val="000000"/>
                <w:sz w:val="24"/>
                <w:lang w:eastAsia="zh-CN"/>
              </w:rPr>
              <w:tab/>
            </w:r>
          </w:p>
        </w:tc>
        <w:tc>
          <w:tcPr>
            <w:tcW w:w="179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≥95%</w:t>
            </w:r>
            <w:r>
              <w:rPr>
                <w:rFonts w:hint="eastAsia" w:ascii="宋体" w:hAnsi="宋体" w:cs="宋体"/>
                <w:color w:val="000000"/>
                <w:sz w:val="24"/>
                <w:lang w:eastAsia="zh-CN"/>
              </w:rPr>
              <w:tab/>
            </w:r>
          </w:p>
        </w:tc>
        <w:tc>
          <w:tcPr>
            <w:tcW w:w="185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＞95%</w:t>
            </w:r>
          </w:p>
        </w:tc>
        <w:tc>
          <w:tcPr>
            <w:tcW w:w="274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服务对象满意度</w:t>
            </w:r>
            <w:r>
              <w:rPr>
                <w:rFonts w:hint="eastAsia" w:ascii="宋体" w:hAnsi="宋体" w:cs="宋体"/>
                <w:color w:val="000000"/>
                <w:sz w:val="24"/>
                <w:lang w:eastAsia="zh-CN"/>
              </w:rPr>
              <w:tab/>
            </w:r>
          </w:p>
        </w:tc>
        <w:tc>
          <w:tcPr>
            <w:tcW w:w="25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≥95%</w:t>
            </w:r>
            <w:r>
              <w:rPr>
                <w:rFonts w:hint="eastAsia" w:ascii="宋体" w:hAnsi="宋体" w:cs="宋体"/>
                <w:color w:val="000000"/>
                <w:sz w:val="24"/>
                <w:lang w:eastAsia="zh-CN"/>
              </w:rPr>
              <w:tab/>
            </w:r>
          </w:p>
        </w:tc>
      </w:tr>
      <w:tr>
        <w:tblPrEx>
          <w:tblCellMar>
            <w:top w:w="0" w:type="dxa"/>
            <w:left w:w="0" w:type="dxa"/>
            <w:bottom w:w="0" w:type="dxa"/>
            <w:right w:w="0" w:type="dxa"/>
          </w:tblCellMar>
        </w:tblPrEx>
        <w:trPr>
          <w:trHeight w:val="90" w:hRule="atLeast"/>
          <w:jc w:val="center"/>
        </w:trPr>
        <w:tc>
          <w:tcPr>
            <w:tcW w:w="11064" w:type="dxa"/>
            <w:gridSpan w:val="12"/>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jc w:val="center"/>
        </w:trPr>
        <w:tc>
          <w:tcPr>
            <w:tcW w:w="3783"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281"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代表视察工作经费</w:t>
            </w:r>
          </w:p>
        </w:tc>
      </w:tr>
      <w:tr>
        <w:tblPrEx>
          <w:tblCellMar>
            <w:top w:w="0" w:type="dxa"/>
            <w:left w:w="0" w:type="dxa"/>
            <w:bottom w:w="0" w:type="dxa"/>
            <w:right w:w="0" w:type="dxa"/>
          </w:tblCellMar>
        </w:tblPrEx>
        <w:trPr>
          <w:trHeight w:val="276" w:hRule="atLeast"/>
          <w:jc w:val="center"/>
        </w:trPr>
        <w:tc>
          <w:tcPr>
            <w:tcW w:w="3783"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281"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四川省人大常委会办公厅</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预算数:</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404.4</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执行数:</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404.4</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其中-财政拨款:</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404.4</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其中-财政拨款:</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404.4</w:t>
            </w:r>
          </w:p>
        </w:tc>
      </w:tr>
      <w:tr>
        <w:tblPrEx>
          <w:tblCellMar>
            <w:top w:w="0" w:type="dxa"/>
            <w:left w:w="0" w:type="dxa"/>
            <w:bottom w:w="0" w:type="dxa"/>
            <w:right w:w="0" w:type="dxa"/>
          </w:tblCellMar>
        </w:tblPrEx>
        <w:trPr>
          <w:trHeight w:val="418"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其它资金:</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0</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其它资金:</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84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预期目标</w:t>
            </w:r>
          </w:p>
        </w:tc>
        <w:tc>
          <w:tcPr>
            <w:tcW w:w="545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实际完成目标</w:t>
            </w:r>
          </w:p>
        </w:tc>
      </w:tr>
      <w:tr>
        <w:tblPrEx>
          <w:tblCellMar>
            <w:top w:w="0" w:type="dxa"/>
            <w:left w:w="0" w:type="dxa"/>
            <w:bottom w:w="0" w:type="dxa"/>
            <w:right w:w="0" w:type="dxa"/>
          </w:tblCellMar>
        </w:tblPrEx>
        <w:trPr>
          <w:trHeight w:val="1159"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84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省人大常委会围绕全省工作重点组织省人大代表对化解过剩产能工作，进行专题视察调研。委托21个市州人大常委会、省军区政治工作部组织省人大代表开展专题调研、集中视察。</w:t>
            </w:r>
          </w:p>
        </w:tc>
        <w:tc>
          <w:tcPr>
            <w:tcW w:w="545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省人大常委会围绕全省工作重点，组织省人大代表开展关于综合交通建设三年行动计划中航空重点项目建设推进情况代表视察；开展两院重点工作专题调研、高考评卷现场专题视察等工作。开展《四川省企业和企业家权益保护条例（草案）》、《四川省军民融合促进条例（草案）》、《四川省通用航空条例（草案）》和《四川省质量促进条例（草案）》、《四川省优化营商环境条例（草案）》等多部法律法规的立法调研。</w:t>
            </w:r>
          </w:p>
        </w:tc>
      </w:tr>
      <w:tr>
        <w:tblPrEx>
          <w:tblCellMar>
            <w:top w:w="0" w:type="dxa"/>
            <w:left w:w="0" w:type="dxa"/>
            <w:bottom w:w="0" w:type="dxa"/>
            <w:right w:w="0" w:type="dxa"/>
          </w:tblCellMar>
        </w:tblPrEx>
        <w:trPr>
          <w:trHeight w:val="1042"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一级指标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二级指标</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三级指标</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预期指标值(包含数字及文字描述)</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实际完成指标值(包含数字及文字描述)</w:t>
            </w:r>
          </w:p>
        </w:tc>
      </w:tr>
      <w:tr>
        <w:tblPrEx>
          <w:tblCellMar>
            <w:top w:w="0" w:type="dxa"/>
            <w:left w:w="0" w:type="dxa"/>
            <w:bottom w:w="0" w:type="dxa"/>
            <w:right w:w="0" w:type="dxa"/>
          </w:tblCellMar>
        </w:tblPrEx>
        <w:trPr>
          <w:trHeight w:val="61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保障履职</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保障894名代表依法履职</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代表履职率100%</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代表履职率100%</w:t>
            </w:r>
          </w:p>
        </w:tc>
      </w:tr>
      <w:tr>
        <w:tblPrEx>
          <w:tblCellMar>
            <w:top w:w="0" w:type="dxa"/>
            <w:left w:w="0" w:type="dxa"/>
            <w:bottom w:w="0" w:type="dxa"/>
            <w:right w:w="0" w:type="dxa"/>
          </w:tblCellMar>
        </w:tblPrEx>
        <w:trPr>
          <w:trHeight w:val="59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成本</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代表履职全年人均标准</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5</w:t>
            </w:r>
            <w:r>
              <w:rPr>
                <w:rFonts w:hint="eastAsia" w:ascii="宋体" w:hAnsi="宋体" w:cs="宋体"/>
                <w:color w:val="000000"/>
                <w:sz w:val="24"/>
                <w:lang w:eastAsia="zh-CN"/>
              </w:rPr>
              <w:t>000元每人每年</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5</w:t>
            </w:r>
            <w:r>
              <w:rPr>
                <w:rFonts w:hint="eastAsia" w:ascii="宋体" w:hAnsi="宋体" w:cs="宋体"/>
                <w:color w:val="000000"/>
                <w:sz w:val="24"/>
                <w:lang w:eastAsia="zh-CN"/>
              </w:rPr>
              <w:t>000元每人每年</w:t>
            </w:r>
          </w:p>
        </w:tc>
      </w:tr>
      <w:tr>
        <w:tblPrEx>
          <w:tblCellMar>
            <w:top w:w="0" w:type="dxa"/>
            <w:left w:w="0" w:type="dxa"/>
            <w:bottom w:w="0" w:type="dxa"/>
            <w:right w:w="0" w:type="dxa"/>
          </w:tblCellMar>
        </w:tblPrEx>
        <w:trPr>
          <w:trHeight w:val="325"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组织视察</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人次</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≥600人次</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＞600人次</w:t>
            </w:r>
          </w:p>
        </w:tc>
      </w:tr>
      <w:tr>
        <w:tblPrEx>
          <w:tblCellMar>
            <w:top w:w="0" w:type="dxa"/>
            <w:left w:w="0" w:type="dxa"/>
            <w:bottom w:w="0" w:type="dxa"/>
            <w:right w:w="0" w:type="dxa"/>
          </w:tblCellMar>
        </w:tblPrEx>
        <w:trPr>
          <w:trHeight w:val="348"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完成进度</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项目完成时间</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201</w:t>
            </w:r>
            <w:r>
              <w:rPr>
                <w:rFonts w:hint="eastAsia" w:ascii="宋体" w:hAnsi="宋体" w:cs="宋体"/>
                <w:color w:val="000000"/>
                <w:sz w:val="24"/>
                <w:lang w:val="en-US" w:eastAsia="zh-CN"/>
              </w:rPr>
              <w:t>9</w:t>
            </w:r>
            <w:r>
              <w:rPr>
                <w:rFonts w:hint="eastAsia" w:ascii="宋体" w:hAnsi="宋体" w:cs="宋体"/>
                <w:color w:val="000000"/>
                <w:sz w:val="24"/>
                <w:lang w:eastAsia="zh-CN"/>
              </w:rPr>
              <w:t>年12月前</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201</w:t>
            </w:r>
            <w:r>
              <w:rPr>
                <w:rFonts w:hint="eastAsia" w:ascii="宋体" w:hAnsi="宋体" w:cs="宋体"/>
                <w:color w:val="000000"/>
                <w:sz w:val="24"/>
                <w:lang w:val="en-US" w:eastAsia="zh-CN"/>
              </w:rPr>
              <w:t>9</w:t>
            </w:r>
            <w:r>
              <w:rPr>
                <w:rFonts w:hint="eastAsia" w:ascii="宋体" w:hAnsi="宋体" w:cs="宋体"/>
                <w:color w:val="000000"/>
                <w:sz w:val="24"/>
                <w:lang w:eastAsia="zh-CN"/>
              </w:rPr>
              <w:t>年12月完成</w:t>
            </w:r>
          </w:p>
        </w:tc>
      </w:tr>
      <w:tr>
        <w:tblPrEx>
          <w:tblCellMar>
            <w:top w:w="0" w:type="dxa"/>
            <w:left w:w="0" w:type="dxa"/>
            <w:bottom w:w="0" w:type="dxa"/>
            <w:right w:w="0" w:type="dxa"/>
          </w:tblCellMar>
        </w:tblPrEx>
        <w:trPr>
          <w:trHeight w:val="609"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代表参与</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组织代表列席省人大常委会</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全年7次常委会要求代表列席</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全年7次常委会，邀请代表列席会议</w:t>
            </w:r>
          </w:p>
        </w:tc>
      </w:tr>
      <w:tr>
        <w:tblPrEx>
          <w:tblCellMar>
            <w:top w:w="0" w:type="dxa"/>
            <w:left w:w="0" w:type="dxa"/>
            <w:bottom w:w="0" w:type="dxa"/>
            <w:right w:w="0" w:type="dxa"/>
          </w:tblCellMar>
        </w:tblPrEx>
        <w:trPr>
          <w:trHeight w:val="129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权力运行监督</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参与管理国家事务</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提出议案及建议</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以四川代表团名义向大会提出建议13件。18件议案经大会主席团审议通过，作为议案办理，立案率达78%。</w:t>
            </w:r>
          </w:p>
        </w:tc>
      </w:tr>
      <w:tr>
        <w:tblPrEx>
          <w:tblCellMar>
            <w:top w:w="0" w:type="dxa"/>
            <w:left w:w="0" w:type="dxa"/>
            <w:bottom w:w="0" w:type="dxa"/>
            <w:right w:w="0" w:type="dxa"/>
          </w:tblCellMar>
        </w:tblPrEx>
        <w:trPr>
          <w:trHeight w:val="1050"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对工作的促进作用</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代表有效履职</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增强代表履职的成就感、人民群众的获得感</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通过召开人代会，邀请代表参加常委会议、执法检查、调研等工作，充分发挥代表作用，提升代表履职成就感和参与感。</w:t>
            </w:r>
          </w:p>
        </w:tc>
      </w:tr>
      <w:tr>
        <w:tblPrEx>
          <w:tblCellMar>
            <w:top w:w="0" w:type="dxa"/>
            <w:left w:w="0" w:type="dxa"/>
            <w:bottom w:w="0" w:type="dxa"/>
            <w:right w:w="0" w:type="dxa"/>
          </w:tblCellMar>
        </w:tblPrEx>
        <w:trPr>
          <w:trHeight w:val="409"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对工作的促进作用</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落实我国的根本政治制度</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夯实党的执政基础，搭建党委政府与人民群众沟通联系的桥梁，政治效益无法估量。</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全年通过人大代表集中视察、执法检查、立法调研充分表达群众意愿，坚实群众基础。</w:t>
            </w:r>
          </w:p>
        </w:tc>
      </w:tr>
      <w:tr>
        <w:tblPrEx>
          <w:tblCellMar>
            <w:top w:w="0" w:type="dxa"/>
            <w:left w:w="0" w:type="dxa"/>
            <w:bottom w:w="0" w:type="dxa"/>
            <w:right w:w="0" w:type="dxa"/>
          </w:tblCellMar>
        </w:tblPrEx>
        <w:trPr>
          <w:trHeight w:val="91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代表有效履职</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组织代表列席省人大常委会</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每次邀请10名左右基层列席省人大常委会，全年6次以上。</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top"/>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eastAsia="zh-CN"/>
              </w:rPr>
              <w:t>召开</w:t>
            </w:r>
            <w:r>
              <w:rPr>
                <w:rFonts w:hint="eastAsia" w:ascii="宋体" w:hAnsi="宋体" w:cs="宋体"/>
                <w:color w:val="000000"/>
                <w:sz w:val="24"/>
                <w:lang w:val="en-US" w:eastAsia="zh-CN"/>
              </w:rPr>
              <w:t>7</w:t>
            </w:r>
            <w:r>
              <w:rPr>
                <w:rFonts w:hint="eastAsia" w:ascii="宋体" w:hAnsi="宋体" w:cs="宋体"/>
                <w:color w:val="000000"/>
                <w:sz w:val="24"/>
                <w:lang w:eastAsia="zh-CN"/>
              </w:rPr>
              <w:t>次常委会会议，邀请全国人大代表和省人大代表列席，每次不少于10名。</w:t>
            </w:r>
          </w:p>
        </w:tc>
      </w:tr>
      <w:tr>
        <w:tblPrEx>
          <w:tblCellMar>
            <w:top w:w="0" w:type="dxa"/>
            <w:left w:w="0" w:type="dxa"/>
            <w:bottom w:w="0" w:type="dxa"/>
            <w:right w:w="0" w:type="dxa"/>
          </w:tblCellMar>
        </w:tblPrEx>
        <w:trPr>
          <w:trHeight w:val="663"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服务保障代表履职满意度</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w:t>
            </w:r>
            <w:r>
              <w:rPr>
                <w:rFonts w:hint="eastAsia" w:ascii="宋体" w:hAnsi="宋体" w:cs="宋体"/>
                <w:color w:val="000000"/>
                <w:sz w:val="24"/>
                <w:lang w:val="en-US" w:eastAsia="zh-CN"/>
              </w:rPr>
              <w:t>0</w:t>
            </w:r>
            <w:r>
              <w:rPr>
                <w:rFonts w:hint="eastAsia" w:ascii="宋体" w:hAnsi="宋体" w:cs="宋体"/>
                <w:color w:val="000000"/>
                <w:sz w:val="24"/>
                <w:lang w:eastAsia="zh-CN"/>
              </w:rPr>
              <w:t>%</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＞95%</w:t>
            </w:r>
          </w:p>
        </w:tc>
      </w:tr>
      <w:tr>
        <w:tblPrEx>
          <w:tblCellMar>
            <w:top w:w="0" w:type="dxa"/>
            <w:left w:w="0" w:type="dxa"/>
            <w:bottom w:w="0" w:type="dxa"/>
            <w:right w:w="0" w:type="dxa"/>
          </w:tblCellMar>
        </w:tblPrEx>
        <w:trPr>
          <w:trHeight w:val="1034" w:hRule="atLeast"/>
          <w:jc w:val="center"/>
        </w:trPr>
        <w:tc>
          <w:tcPr>
            <w:tcW w:w="11064" w:type="dxa"/>
            <w:gridSpan w:val="12"/>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jc w:val="center"/>
        </w:trPr>
        <w:tc>
          <w:tcPr>
            <w:tcW w:w="3783"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281"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代表履职能力提升</w:t>
            </w:r>
            <w:r>
              <w:rPr>
                <w:rFonts w:hint="eastAsia" w:ascii="宋体" w:hAnsi="宋体" w:cs="宋体"/>
                <w:color w:val="000000"/>
                <w:sz w:val="24"/>
              </w:rPr>
              <w:t>经费</w:t>
            </w:r>
          </w:p>
        </w:tc>
      </w:tr>
      <w:tr>
        <w:tblPrEx>
          <w:tblCellMar>
            <w:top w:w="0" w:type="dxa"/>
            <w:left w:w="0" w:type="dxa"/>
            <w:bottom w:w="0" w:type="dxa"/>
            <w:right w:w="0" w:type="dxa"/>
          </w:tblCellMar>
        </w:tblPrEx>
        <w:trPr>
          <w:trHeight w:val="276" w:hRule="atLeast"/>
          <w:jc w:val="center"/>
        </w:trPr>
        <w:tc>
          <w:tcPr>
            <w:tcW w:w="3783"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281"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四川省人大常委会办公厅</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预算数:</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171.6</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执行数:</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171.59</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其中-财政拨款:</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171.6</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其中-财政拨款:</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171.59</w:t>
            </w:r>
          </w:p>
        </w:tc>
      </w:tr>
      <w:tr>
        <w:tblPrEx>
          <w:tblCellMar>
            <w:top w:w="0" w:type="dxa"/>
            <w:left w:w="0" w:type="dxa"/>
            <w:bottom w:w="0" w:type="dxa"/>
            <w:right w:w="0" w:type="dxa"/>
          </w:tblCellMar>
        </w:tblPrEx>
        <w:trPr>
          <w:trHeight w:val="605"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其它资金:</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其它资金:</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84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预期目标</w:t>
            </w:r>
          </w:p>
        </w:tc>
        <w:tc>
          <w:tcPr>
            <w:tcW w:w="545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84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健全代表履职保障机制，</w:t>
            </w:r>
            <w:r>
              <w:rPr>
                <w:rFonts w:hint="eastAsia" w:ascii="宋体" w:hAnsi="宋体" w:cs="宋体"/>
                <w:color w:val="000000"/>
                <w:kern w:val="0"/>
                <w:sz w:val="24"/>
                <w:lang w:eastAsia="zh-CN" w:bidi="ar"/>
              </w:rPr>
              <w:t>通过开展代表专题培训，</w:t>
            </w:r>
            <w:r>
              <w:rPr>
                <w:rFonts w:hint="eastAsia" w:ascii="宋体" w:hAnsi="宋体" w:cs="宋体"/>
                <w:color w:val="000000"/>
                <w:kern w:val="0"/>
                <w:sz w:val="24"/>
                <w:lang w:bidi="ar"/>
              </w:rPr>
              <w:t>全面提升人大代表履职能力，夯实代表履职基础，充分发挥代表作用。</w:t>
            </w:r>
          </w:p>
        </w:tc>
        <w:tc>
          <w:tcPr>
            <w:tcW w:w="545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bidi="ar"/>
              </w:rPr>
              <w:t>围绕代表履职需要，拓展培训内容，丰富培训形式，分两期培训270名省人大代表，并将省人大常委会组织的代表培训，延伸扩展到市县乡三级人大代表和人大工作者。针对我省民族地区实际，举办专门培训班，培训民族地区和少数民族省人大代表120名，助力代表更好发挥履职作用，推动贯彻民族区域自治法，促进各民族共同团结奋斗、共同繁荣发展。</w:t>
            </w:r>
          </w:p>
        </w:tc>
      </w:tr>
      <w:tr>
        <w:tblPrEx>
          <w:tblCellMar>
            <w:top w:w="0" w:type="dxa"/>
            <w:left w:w="0" w:type="dxa"/>
            <w:bottom w:w="0" w:type="dxa"/>
            <w:right w:w="0" w:type="dxa"/>
          </w:tblCellMar>
        </w:tblPrEx>
        <w:trPr>
          <w:trHeight w:val="1042"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一级指标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二级指标</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三级指标</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预期指标值(包含数字及文字描述)</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531"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开展培训</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开展次数</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大于2次</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2次</w:t>
            </w:r>
          </w:p>
        </w:tc>
      </w:tr>
      <w:tr>
        <w:tblPrEx>
          <w:tblCellMar>
            <w:top w:w="0" w:type="dxa"/>
            <w:left w:w="0" w:type="dxa"/>
            <w:bottom w:w="0" w:type="dxa"/>
            <w:right w:w="0" w:type="dxa"/>
          </w:tblCellMar>
        </w:tblPrEx>
        <w:trPr>
          <w:trHeight w:val="499"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开展培训</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人数</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350人</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cs="宋体"/>
                <w:color w:val="000000"/>
                <w:kern w:val="0"/>
                <w:sz w:val="24"/>
                <w:lang w:val="en-US" w:eastAsia="zh-CN" w:bidi="ar"/>
              </w:rPr>
            </w:pPr>
            <w:r>
              <w:rPr>
                <w:rFonts w:hint="eastAsia" w:ascii="宋体" w:hAnsi="宋体" w:cs="宋体"/>
                <w:color w:val="000000"/>
                <w:kern w:val="0"/>
                <w:sz w:val="24"/>
                <w:lang w:val="en-US" w:eastAsia="zh-CN" w:bidi="ar"/>
              </w:rPr>
              <w:t>390人</w:t>
            </w:r>
          </w:p>
        </w:tc>
      </w:tr>
      <w:tr>
        <w:tblPrEx>
          <w:tblCellMar>
            <w:top w:w="0" w:type="dxa"/>
            <w:left w:w="0" w:type="dxa"/>
            <w:bottom w:w="0" w:type="dxa"/>
            <w:right w:w="0" w:type="dxa"/>
          </w:tblCellMar>
        </w:tblPrEx>
        <w:trPr>
          <w:trHeight w:val="47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完成时间</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完成时间</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201</w:t>
            </w:r>
            <w:r>
              <w:rPr>
                <w:rFonts w:hint="eastAsia" w:ascii="宋体" w:hAnsi="宋体" w:cs="宋体"/>
                <w:color w:val="000000"/>
                <w:kern w:val="0"/>
                <w:sz w:val="24"/>
                <w:lang w:val="en-US" w:eastAsia="zh-CN" w:bidi="ar"/>
              </w:rPr>
              <w:t>9</w:t>
            </w:r>
            <w:r>
              <w:rPr>
                <w:rFonts w:hint="eastAsia" w:ascii="宋体" w:hAnsi="宋体" w:cs="宋体"/>
                <w:color w:val="000000"/>
                <w:kern w:val="0"/>
                <w:sz w:val="24"/>
                <w:lang w:bidi="ar"/>
              </w:rPr>
              <w:t>年12月前</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按进度完成</w:t>
            </w:r>
          </w:p>
        </w:tc>
      </w:tr>
      <w:tr>
        <w:tblPrEx>
          <w:tblCellMar>
            <w:top w:w="0" w:type="dxa"/>
            <w:left w:w="0" w:type="dxa"/>
            <w:bottom w:w="0" w:type="dxa"/>
            <w:right w:w="0" w:type="dxa"/>
          </w:tblCellMar>
        </w:tblPrEx>
        <w:trPr>
          <w:trHeight w:val="61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对工作的促进作用</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加强代表履职</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提升代表履职能力</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通过2次代表专题培训，提升了代表履职能力和水平。</w:t>
            </w:r>
          </w:p>
        </w:tc>
      </w:tr>
      <w:tr>
        <w:tblPrEx>
          <w:tblCellMar>
            <w:top w:w="0" w:type="dxa"/>
            <w:left w:w="0" w:type="dxa"/>
            <w:bottom w:w="0" w:type="dxa"/>
            <w:right w:w="0" w:type="dxa"/>
          </w:tblCellMar>
        </w:tblPrEx>
        <w:trPr>
          <w:trHeight w:val="529"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满意度</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服务保障代表履职满意度</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w:t>
            </w:r>
            <w:r>
              <w:rPr>
                <w:rFonts w:hint="eastAsia" w:ascii="宋体" w:hAnsi="宋体" w:cs="宋体"/>
                <w:color w:val="000000"/>
                <w:kern w:val="0"/>
                <w:sz w:val="24"/>
                <w:lang w:val="en-US" w:eastAsia="zh-CN" w:bidi="ar"/>
              </w:rPr>
              <w:t>5</w:t>
            </w:r>
            <w:r>
              <w:rPr>
                <w:rFonts w:hint="eastAsia" w:ascii="宋体" w:hAnsi="宋体" w:cs="宋体"/>
                <w:color w:val="000000"/>
                <w:kern w:val="0"/>
                <w:sz w:val="24"/>
                <w:lang w:bidi="ar"/>
              </w:rPr>
              <w:t>%</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＞95%</w:t>
            </w:r>
          </w:p>
        </w:tc>
      </w:tr>
      <w:tr>
        <w:tblPrEx>
          <w:tblCellMar>
            <w:top w:w="0" w:type="dxa"/>
            <w:left w:w="0" w:type="dxa"/>
            <w:bottom w:w="0" w:type="dxa"/>
            <w:right w:w="0" w:type="dxa"/>
          </w:tblCellMar>
        </w:tblPrEx>
        <w:trPr>
          <w:trHeight w:val="1034" w:hRule="atLeast"/>
          <w:jc w:val="center"/>
        </w:trPr>
        <w:tc>
          <w:tcPr>
            <w:tcW w:w="11064" w:type="dxa"/>
            <w:gridSpan w:val="12"/>
            <w:tcMar>
              <w:top w:w="15" w:type="dxa"/>
              <w:left w:w="15" w:type="dxa"/>
              <w:bottom w:w="0" w:type="dxa"/>
              <w:right w:w="15" w:type="dxa"/>
            </w:tcMar>
            <w:vAlign w:val="center"/>
          </w:tcPr>
          <w:p>
            <w:pPr>
              <w:pStyle w:val="25"/>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5"/>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jc w:val="center"/>
        </w:trPr>
        <w:tc>
          <w:tcPr>
            <w:tcW w:w="3783"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281"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监督检查专项经费</w:t>
            </w:r>
          </w:p>
        </w:tc>
      </w:tr>
      <w:tr>
        <w:tblPrEx>
          <w:tblCellMar>
            <w:top w:w="0" w:type="dxa"/>
            <w:left w:w="0" w:type="dxa"/>
            <w:bottom w:w="0" w:type="dxa"/>
            <w:right w:w="0" w:type="dxa"/>
          </w:tblCellMar>
        </w:tblPrEx>
        <w:trPr>
          <w:trHeight w:val="276" w:hRule="atLeast"/>
          <w:jc w:val="center"/>
        </w:trPr>
        <w:tc>
          <w:tcPr>
            <w:tcW w:w="3783"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预算单位</w:t>
            </w:r>
          </w:p>
        </w:tc>
        <w:tc>
          <w:tcPr>
            <w:tcW w:w="7281"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四川省人大常委会办公厅</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预算执行情况(万元)</w:t>
            </w:r>
          </w:p>
        </w:tc>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预算数:</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192.85</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执行数:</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192.85</w:t>
            </w:r>
          </w:p>
        </w:tc>
      </w:tr>
      <w:tr>
        <w:tblPrEx>
          <w:tblCellMar>
            <w:top w:w="0" w:type="dxa"/>
            <w:left w:w="0" w:type="dxa"/>
            <w:bottom w:w="0" w:type="dxa"/>
            <w:right w:w="0" w:type="dxa"/>
          </w:tblCellMar>
        </w:tblPrEx>
        <w:trPr>
          <w:trHeight w:val="276"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其中-财政拨款:</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192.85</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其中-财政拨款:</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val="en-US" w:eastAsia="zh-CN" w:bidi="ar"/>
              </w:rPr>
            </w:pPr>
            <w:r>
              <w:rPr>
                <w:rFonts w:hint="eastAsia" w:ascii="宋体" w:hAnsi="宋体" w:cs="宋体"/>
                <w:color w:val="000000"/>
                <w:kern w:val="0"/>
                <w:sz w:val="24"/>
                <w:lang w:val="en-US" w:eastAsia="zh-CN" w:bidi="ar"/>
              </w:rPr>
              <w:t>192.85</w:t>
            </w:r>
          </w:p>
        </w:tc>
      </w:tr>
      <w:tr>
        <w:tblPrEx>
          <w:tblCellMar>
            <w:top w:w="0" w:type="dxa"/>
            <w:left w:w="0" w:type="dxa"/>
            <w:bottom w:w="0" w:type="dxa"/>
            <w:right w:w="0" w:type="dxa"/>
          </w:tblCellMar>
        </w:tblPrEx>
        <w:trPr>
          <w:trHeight w:val="371"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3023"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其它资金:</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年度目标完成情况</w:t>
            </w:r>
          </w:p>
        </w:tc>
        <w:tc>
          <w:tcPr>
            <w:tcW w:w="484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545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846" w:type="dxa"/>
            <w:gridSpan w:val="6"/>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通过执法检查、专题询问、法律法规备案审查和工作评议、预决算审查等形式，履行人大监督职能，加强和改进监督工作，推动全省各项工作在法治轨道上有序运行。</w:t>
            </w:r>
          </w:p>
        </w:tc>
        <w:tc>
          <w:tcPr>
            <w:tcW w:w="5458" w:type="dxa"/>
            <w:gridSpan w:val="5"/>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听取和审议专项工作报告51个，作出决定决议5项，开展执法检查5次。听取和审议全省民营经济发展情况的报告，督促落实省委、省政府“民营经济20条”措施。听取和审议法治政府建设情况报告，促进政府权力依法规范运行。</w:t>
            </w:r>
          </w:p>
        </w:tc>
      </w:tr>
      <w:tr>
        <w:tblPrEx>
          <w:tblCellMar>
            <w:top w:w="0" w:type="dxa"/>
            <w:left w:w="0" w:type="dxa"/>
            <w:bottom w:w="0" w:type="dxa"/>
            <w:right w:w="0" w:type="dxa"/>
          </w:tblCellMar>
        </w:tblPrEx>
        <w:trPr>
          <w:trHeight w:val="1042" w:hRule="atLeast"/>
          <w:jc w:val="center"/>
        </w:trPr>
        <w:tc>
          <w:tcPr>
            <w:tcW w:w="76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一级指标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二级指标</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三级指标</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预期指标值(包含数字及文字描述)</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开展审计监督调研和审计整改监督检查</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次数</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≥8次</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cs="宋体"/>
                <w:color w:val="000000"/>
                <w:kern w:val="0"/>
                <w:sz w:val="24"/>
                <w:lang w:val="en-US" w:eastAsia="zh-CN" w:bidi="ar"/>
              </w:rPr>
              <w:t>大于8次</w:t>
            </w:r>
          </w:p>
        </w:tc>
      </w:tr>
      <w:tr>
        <w:tblPrEx>
          <w:tblCellMar>
            <w:top w:w="0" w:type="dxa"/>
            <w:left w:w="0" w:type="dxa"/>
            <w:bottom w:w="0" w:type="dxa"/>
            <w:right w:w="0" w:type="dxa"/>
          </w:tblCellMar>
        </w:tblPrEx>
        <w:trPr>
          <w:trHeight w:val="129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开展执法调研</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次数</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≥16次</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开展《四川省企业和企业家权益保护条例（草案）》、《四川省军民融合促进条例（草案）》、《四川省通用航空条例（草案）》和《四川省质量促进条例（草案）》、《四川省优化营商环境条例（草案）》等多部法律法规的立法调研，次数大于16次</w:t>
            </w:r>
          </w:p>
        </w:tc>
      </w:tr>
      <w:tr>
        <w:tblPrEx>
          <w:tblCellMar>
            <w:top w:w="0" w:type="dxa"/>
            <w:left w:w="0" w:type="dxa"/>
            <w:bottom w:w="0" w:type="dxa"/>
            <w:right w:w="0" w:type="dxa"/>
          </w:tblCellMar>
        </w:tblPrEx>
        <w:trPr>
          <w:trHeight w:val="104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组织视察</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eastAsia="zh-CN" w:bidi="ar"/>
              </w:rPr>
              <w:t>重点项目专题视察</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≥6次</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eastAsia="zh-CN" w:bidi="ar"/>
              </w:rPr>
            </w:pPr>
            <w:r>
              <w:rPr>
                <w:rFonts w:hint="eastAsia" w:ascii="宋体" w:hAnsi="宋体" w:cs="宋体"/>
                <w:color w:val="000000"/>
                <w:kern w:val="0"/>
                <w:sz w:val="24"/>
                <w:lang w:bidi="ar"/>
              </w:rPr>
              <w:t>开展关于综合交通建设三年行动计划中航空重点项目建设推进情况代表视察；开展两院重点工作专题调研、高考评卷现场专题视察等工作</w:t>
            </w:r>
            <w:r>
              <w:rPr>
                <w:rFonts w:hint="eastAsia" w:ascii="宋体" w:hAnsi="宋体" w:cs="宋体"/>
                <w:color w:val="000000"/>
                <w:kern w:val="0"/>
                <w:sz w:val="24"/>
                <w:lang w:eastAsia="zh-CN" w:bidi="ar"/>
              </w:rPr>
              <w:t>。</w:t>
            </w:r>
          </w:p>
        </w:tc>
      </w:tr>
      <w:tr>
        <w:tblPrEx>
          <w:tblCellMar>
            <w:top w:w="0" w:type="dxa"/>
            <w:left w:w="0" w:type="dxa"/>
            <w:bottom w:w="0" w:type="dxa"/>
            <w:right w:w="0" w:type="dxa"/>
          </w:tblCellMar>
        </w:tblPrEx>
        <w:trPr>
          <w:trHeight w:val="56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督促审计发现问题整改落实</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整改落实率</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高于85%。</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高于85%</w:t>
            </w:r>
          </w:p>
        </w:tc>
      </w:tr>
      <w:tr>
        <w:tblPrEx>
          <w:tblCellMar>
            <w:top w:w="0" w:type="dxa"/>
            <w:left w:w="0" w:type="dxa"/>
            <w:bottom w:w="0" w:type="dxa"/>
            <w:right w:w="0" w:type="dxa"/>
          </w:tblCellMar>
        </w:tblPrEx>
        <w:trPr>
          <w:trHeight w:val="563"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完成进度</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项目完成时间</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201</w:t>
            </w:r>
            <w:r>
              <w:rPr>
                <w:rFonts w:hint="eastAsia" w:ascii="宋体" w:hAnsi="宋体" w:cs="宋体"/>
                <w:color w:val="000000"/>
                <w:kern w:val="0"/>
                <w:sz w:val="24"/>
                <w:lang w:val="en-US" w:eastAsia="zh-CN" w:bidi="ar"/>
              </w:rPr>
              <w:t>9</w:t>
            </w:r>
            <w:r>
              <w:rPr>
                <w:rFonts w:hint="eastAsia" w:ascii="宋体" w:hAnsi="宋体" w:cs="宋体"/>
                <w:color w:val="000000"/>
                <w:kern w:val="0"/>
                <w:sz w:val="24"/>
                <w:lang w:bidi="ar"/>
              </w:rPr>
              <w:t>年12月前</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201</w:t>
            </w:r>
            <w:r>
              <w:rPr>
                <w:rFonts w:hint="eastAsia" w:ascii="宋体" w:hAnsi="宋体" w:cs="宋体"/>
                <w:color w:val="000000"/>
                <w:kern w:val="0"/>
                <w:sz w:val="24"/>
                <w:lang w:val="en-US" w:eastAsia="zh-CN" w:bidi="ar"/>
              </w:rPr>
              <w:t>9</w:t>
            </w:r>
            <w:r>
              <w:rPr>
                <w:rFonts w:hint="eastAsia" w:ascii="宋体" w:hAnsi="宋体" w:cs="宋体"/>
                <w:color w:val="000000"/>
                <w:kern w:val="0"/>
                <w:sz w:val="24"/>
                <w:lang w:bidi="ar"/>
              </w:rPr>
              <w:t>年12月完成</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完成进度</w:t>
            </w:r>
          </w:p>
        </w:tc>
      </w:tr>
      <w:tr>
        <w:tblPrEx>
          <w:tblCellMar>
            <w:top w:w="0" w:type="dxa"/>
            <w:left w:w="0" w:type="dxa"/>
            <w:bottom w:w="0" w:type="dxa"/>
            <w:right w:w="0" w:type="dxa"/>
          </w:tblCellMar>
        </w:tblPrEx>
        <w:trPr>
          <w:trHeight w:val="1042"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效益指标</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法律执行情况监督</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法律检查数量</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大于5部</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开展《四川省天然林保护条例》执法检查，根据检查结果完成执法检查情况报告。组织10个工作组对今年计划摘帽的31个贫困县开展《四川省农村扶贫开发条例》实施情况执法检查。</w:t>
            </w:r>
          </w:p>
        </w:tc>
      </w:tr>
      <w:tr>
        <w:tblPrEx>
          <w:tblCellMar>
            <w:top w:w="0" w:type="dxa"/>
            <w:left w:w="0" w:type="dxa"/>
            <w:bottom w:w="0" w:type="dxa"/>
            <w:right w:w="0" w:type="dxa"/>
          </w:tblCellMar>
        </w:tblPrEx>
        <w:trPr>
          <w:trHeight w:val="129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对工作的促进作用</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促进信息公开</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提高财政预决算编制质量，促进财政及部门收支任务完成。</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完成预决算审查，提出预决算审查意见。</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完成201</w:t>
            </w:r>
            <w:r>
              <w:rPr>
                <w:rFonts w:hint="eastAsia" w:ascii="宋体" w:hAnsi="宋体" w:cs="宋体"/>
                <w:color w:val="000000"/>
                <w:kern w:val="0"/>
                <w:sz w:val="24"/>
                <w:lang w:val="en-US" w:eastAsia="zh-CN" w:bidi="ar"/>
              </w:rPr>
              <w:t>9</w:t>
            </w:r>
            <w:r>
              <w:rPr>
                <w:rFonts w:hint="eastAsia" w:ascii="宋体" w:hAnsi="宋体" w:cs="宋体"/>
                <w:color w:val="000000"/>
                <w:kern w:val="0"/>
                <w:sz w:val="24"/>
                <w:lang w:bidi="ar"/>
              </w:rPr>
              <w:t>年决算审查和20</w:t>
            </w:r>
            <w:r>
              <w:rPr>
                <w:rFonts w:hint="eastAsia" w:ascii="宋体" w:hAnsi="宋体" w:cs="宋体"/>
                <w:color w:val="000000"/>
                <w:kern w:val="0"/>
                <w:sz w:val="24"/>
                <w:lang w:val="en-US" w:eastAsia="zh-CN" w:bidi="ar"/>
              </w:rPr>
              <w:t>20</w:t>
            </w:r>
            <w:r>
              <w:rPr>
                <w:rFonts w:hint="eastAsia" w:ascii="宋体" w:hAnsi="宋体" w:cs="宋体"/>
                <w:color w:val="000000"/>
                <w:kern w:val="0"/>
                <w:sz w:val="24"/>
                <w:lang w:bidi="ar"/>
              </w:rPr>
              <w:t>年度预算审查工作，预决算审查后分别提出了1000余条意见；督促财政及部门完成了收支任务。</w:t>
            </w:r>
          </w:p>
        </w:tc>
      </w:tr>
      <w:tr>
        <w:tblPrEx>
          <w:tblCellMar>
            <w:top w:w="0" w:type="dxa"/>
            <w:left w:w="0" w:type="dxa"/>
            <w:bottom w:w="0" w:type="dxa"/>
            <w:right w:w="0" w:type="dxa"/>
          </w:tblCellMar>
        </w:tblPrEx>
        <w:trPr>
          <w:trHeight w:val="1297" w:hRule="atLeast"/>
          <w:jc w:val="center"/>
        </w:trPr>
        <w:tc>
          <w:tcPr>
            <w:tcW w:w="7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54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对工作的促进作用</w:t>
            </w:r>
          </w:p>
        </w:tc>
        <w:tc>
          <w:tcPr>
            <w:tcW w:w="1477"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加强监督</w:t>
            </w:r>
          </w:p>
        </w:tc>
        <w:tc>
          <w:tcPr>
            <w:tcW w:w="182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督促政府及相关部门依法行政。</w:t>
            </w:r>
          </w:p>
        </w:tc>
        <w:tc>
          <w:tcPr>
            <w:tcW w:w="19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通过监督检查、听取汇报等多种方式履行人大监督职能，加强和改进监督工作。</w:t>
            </w:r>
          </w:p>
        </w:tc>
        <w:tc>
          <w:tcPr>
            <w:tcW w:w="349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开展了执法检查、专题询问、法律法规备案审查和工作评议、预决算审查，履行了人大监督职能，加强和改进监督工作。</w:t>
            </w:r>
          </w:p>
        </w:tc>
      </w:tr>
    </w:tbl>
    <w:p>
      <w:pPr>
        <w:spacing w:line="580" w:lineRule="exact"/>
        <w:ind w:left="630"/>
        <w:rPr>
          <w:rFonts w:ascii="仿宋_GB2312" w:hAnsi="仿宋_GB2312" w:eastAsia="仿宋_GB2312" w:cs="仿宋_GB2312"/>
          <w:sz w:val="32"/>
          <w:szCs w:val="32"/>
        </w:rPr>
      </w:pP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四川省人大常委会办公厅</w:t>
      </w:r>
      <w:r>
        <w:rPr>
          <w:rFonts w:hint="eastAsia" w:ascii="仿宋_GB2312" w:hAnsi="仿宋_GB2312" w:eastAsia="仿宋_GB2312" w:cs="仿宋_GB2312"/>
          <w:sz w:val="32"/>
          <w:szCs w:val="32"/>
        </w:rPr>
        <w:t>2019年部门整体支出绩效评价报告》见附件（附件1）。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6"/>
          <w:rFonts w:ascii="黑体" w:hAnsi="黑体" w:eastAsia="黑体"/>
          <w:b w:val="0"/>
        </w:rPr>
      </w:pPr>
      <w:bookmarkStart w:id="63" w:name="_Toc15377225"/>
      <w:bookmarkStart w:id="64" w:name="_Toc15396613"/>
      <w:bookmarkStart w:id="65" w:name="_Toc20901"/>
      <w:r>
        <w:rPr>
          <w:rFonts w:hint="eastAsia" w:ascii="黑体" w:hAnsi="黑体" w:eastAsia="黑体"/>
          <w:color w:val="000000"/>
          <w:sz w:val="44"/>
          <w:szCs w:val="44"/>
        </w:rPr>
        <w:t>名</w:t>
      </w:r>
      <w:r>
        <w:rPr>
          <w:rStyle w:val="26"/>
          <w:rFonts w:hint="eastAsia" w:ascii="黑体" w:hAnsi="黑体" w:eastAsia="黑体"/>
          <w:b w:val="0"/>
        </w:rPr>
        <w:t>词解释</w:t>
      </w:r>
      <w:bookmarkEnd w:id="63"/>
      <w:bookmarkEnd w:id="64"/>
      <w:bookmarkEnd w:id="65"/>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事业收入：指事业单位开展专业业务活动及辅助活动取得的收入。如信息中心财政拨款收入。</w:t>
      </w:r>
    </w:p>
    <w:p>
      <w:pPr>
        <w:pStyle w:val="24"/>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w:t>
      </w:r>
      <w:r>
        <w:rPr>
          <w:rFonts w:hint="eastAsia" w:ascii="仿宋_GB2312" w:eastAsia="仿宋_GB2312"/>
          <w:sz w:val="32"/>
          <w:szCs w:val="32"/>
          <w:lang w:eastAsia="zh-CN"/>
        </w:rPr>
        <w:t>利息收入</w:t>
      </w:r>
      <w:r>
        <w:rPr>
          <w:rFonts w:hint="eastAsia" w:ascii="仿宋_GB2312" w:eastAsia="仿宋_GB2312"/>
          <w:sz w:val="32"/>
          <w:szCs w:val="32"/>
        </w:rPr>
        <w:t>。</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12"/>
        <w:spacing w:before="93"/>
        <w:ind w:firstLine="640" w:firstLineChars="200"/>
        <w:rPr>
          <w:rFonts w:ascii="仿宋_GB2312" w:eastAsia="仿宋_GB2312" w:cs="仿宋"/>
          <w:color w:val="000000"/>
          <w:sz w:val="32"/>
          <w:szCs w:val="32"/>
        </w:rPr>
      </w:pPr>
      <w:r>
        <w:rPr>
          <w:rFonts w:ascii="仿宋_GB2312" w:eastAsia="仿宋_GB2312"/>
          <w:color w:val="000000"/>
          <w:sz w:val="32"/>
          <w:szCs w:val="32"/>
        </w:rPr>
        <w:t>9.</w:t>
      </w:r>
      <w:r>
        <w:rPr>
          <w:rFonts w:ascii="仿宋_GB2312" w:eastAsia="仿宋_GB2312" w:cs="仿宋"/>
          <w:color w:val="000000"/>
          <w:sz w:val="32"/>
          <w:szCs w:val="32"/>
        </w:rPr>
        <w:t>一般公共服务（类）人大事务（款）行政运行（项）：反映行政单位（包括实行公务员管理的事业单位）的基本支出。</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一般行政管理事务</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：反映行政单位未单独设置项级科目的其他项目支出。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机关服务</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：反映为行政单位提供后勤服务的各类后勤服务中心、医务室等附属事业单位的支出。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人大会议</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：反映各级人大召开人民代表大会等专门会议的支出。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人大立法</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：反映各级人大立法方面的支出。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人大监督</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：反映各级人大开展监督工作的支出。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人大代表履职能力提升</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：反映各级人大为提高代表履职能力所发生的各项支出。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代表工作</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：反映人大代表开展各类视察等方面的支出。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人大信访工作</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：反映各级人大处理来信来访工作的支出。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事业运行</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：反映事业单位的基本支出，不包括行政单位后勤服务中心、医务室等附属事业单位。</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其他人大事务支出</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：反映除上述项目以外的其他人大事务支出。</w:t>
      </w:r>
    </w:p>
    <w:p>
      <w:pPr>
        <w:ind w:firstLine="640" w:firstLineChars="200"/>
        <w:rPr>
          <w:rFonts w:ascii="仿宋_GB2312" w:eastAsia="仿宋_GB2312"/>
          <w:color w:val="000000"/>
          <w:sz w:val="32"/>
          <w:szCs w:val="32"/>
        </w:rPr>
      </w:pP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cs="仿宋"/>
          <w:color w:val="000000"/>
          <w:sz w:val="32"/>
          <w:szCs w:val="32"/>
        </w:rPr>
        <w:t>教育支出（类）进修及培训（款）培训支出（项）：反映各部门安排的用于培训的支出。</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ascii="仿宋_GB2312" w:eastAsia="仿宋_GB2312"/>
          <w:color w:val="000000"/>
          <w:sz w:val="32"/>
          <w:szCs w:val="32"/>
        </w:rPr>
        <w:t>1</w:t>
      </w:r>
      <w:r>
        <w:rPr>
          <w:rFonts w:hint="eastAsia" w:ascii="仿宋_GB2312" w:eastAsia="仿宋_GB2312"/>
          <w:color w:val="000000"/>
          <w:sz w:val="32"/>
          <w:szCs w:val="32"/>
          <w:lang w:val="en-US" w:eastAsia="zh-CN"/>
        </w:rPr>
        <w:t>1</w:t>
      </w:r>
      <w:r>
        <w:rPr>
          <w:rFonts w:ascii="仿宋_GB2312" w:eastAsia="仿宋_GB2312"/>
          <w:color w:val="000000"/>
          <w:sz w:val="32"/>
          <w:szCs w:val="32"/>
        </w:rPr>
        <w:t>.</w:t>
      </w:r>
      <w:r>
        <w:rPr>
          <w:rFonts w:ascii="仿宋_GB2312" w:eastAsia="仿宋_GB2312" w:cs="仿宋"/>
          <w:color w:val="000000"/>
          <w:sz w:val="32"/>
          <w:szCs w:val="32"/>
        </w:rPr>
        <w:t>社会保障和就业（类）行政单位离退休（款）</w:t>
      </w:r>
      <w:r>
        <w:rPr>
          <w:rFonts w:ascii="仿宋_GB2312" w:hAnsi="Calibri" w:eastAsia="仿宋_GB2312" w:cs="仿宋"/>
          <w:color w:val="000000"/>
          <w:kern w:val="0"/>
          <w:sz w:val="32"/>
          <w:szCs w:val="32"/>
        </w:rPr>
        <w:t>归口管理的行政单位离退休</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反映实行归口管理的行政单位开支的离退休支出。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未归口管理的行政单位离退休</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：反映未实行归口管理的行政单位开支的离退休支出。</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机关事业单位基本养老保险缴费支出</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：反映机关事业单位实施养老保险制度由单位缴纳的基本养老保险费支出。</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机关事业单位职业年金缴费支出</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：反映机关事业单位实施养老保险制度由单位实际缴纳的职业年金支出。</w:t>
      </w:r>
    </w:p>
    <w:p>
      <w:pPr>
        <w:ind w:firstLine="640" w:firstLineChars="200"/>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抚恤（款）死亡抚恤（项）：反映按规定用于烈士和牺牲、病故人员家属的一次性和定期抚恤金以及丧葬补助费。</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其他社会保障和就业支出（款）其他社会保障和就业支出（项）：反映其他用于社会保障和就业方面的支出。</w:t>
      </w:r>
    </w:p>
    <w:p>
      <w:pPr>
        <w:ind w:firstLine="640" w:firstLineChars="200"/>
        <w:rPr>
          <w:rFonts w:ascii="仿宋_GB2312" w:hAnsi="Calibri" w:eastAsia="仿宋_GB2312" w:cs="仿宋"/>
          <w:color w:val="000000"/>
          <w:kern w:val="0"/>
          <w:sz w:val="32"/>
          <w:szCs w:val="32"/>
        </w:rPr>
      </w:pPr>
    </w:p>
    <w:p>
      <w:pPr>
        <w:numPr>
          <w:ilvl w:val="0"/>
          <w:numId w:val="0"/>
        </w:numPr>
        <w:ind w:firstLine="640" w:firstLineChars="200"/>
        <w:rPr>
          <w:rFonts w:ascii="仿宋_GB2312" w:eastAsia="仿宋_GB2312" w:cs="仿宋"/>
          <w:color w:val="000000"/>
          <w:sz w:val="32"/>
          <w:szCs w:val="32"/>
        </w:rPr>
      </w:pPr>
      <w:r>
        <w:rPr>
          <w:rFonts w:hint="eastAsia" w:ascii="仿宋_GB2312" w:eastAsia="仿宋_GB2312" w:cs="仿宋"/>
          <w:color w:val="000000"/>
          <w:sz w:val="32"/>
          <w:szCs w:val="32"/>
          <w:lang w:val="en-US" w:eastAsia="zh-CN"/>
        </w:rPr>
        <w:t>12.</w:t>
      </w:r>
      <w:r>
        <w:rPr>
          <w:rFonts w:hint="eastAsia" w:ascii="仿宋_GB2312" w:eastAsia="仿宋_GB2312" w:cs="仿宋"/>
          <w:color w:val="000000"/>
          <w:sz w:val="32"/>
          <w:szCs w:val="32"/>
          <w:lang w:eastAsia="zh-CN"/>
        </w:rPr>
        <w:t>卫生健康支出</w:t>
      </w:r>
      <w:r>
        <w:rPr>
          <w:rFonts w:ascii="仿宋_GB2312" w:eastAsia="仿宋_GB2312" w:cs="仿宋"/>
          <w:color w:val="000000"/>
          <w:sz w:val="32"/>
          <w:szCs w:val="32"/>
        </w:rPr>
        <w:t>（类）行政事业单位医疗（款）行政单位医疗（项）：反映财政部门集中安排的行政单位基本医疗保险缴费经费。</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事业单位医疗</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：反映财政部门集中安排的事业单位基本医疗保险缴费经费。</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公务员医疗补助</w:t>
      </w:r>
      <w:r>
        <w:rPr>
          <w:rFonts w:ascii="仿宋_GB2312" w:eastAsia="仿宋_GB2312" w:cs="仿宋"/>
          <w:color w:val="000000"/>
          <w:sz w:val="32"/>
          <w:szCs w:val="32"/>
        </w:rPr>
        <w:t>（项）</w:t>
      </w:r>
      <w:r>
        <w:rPr>
          <w:rFonts w:ascii="仿宋_GB2312" w:hAnsi="Calibri" w:eastAsia="仿宋_GB2312" w:cs="仿宋"/>
          <w:color w:val="000000"/>
          <w:kern w:val="0"/>
          <w:sz w:val="32"/>
          <w:szCs w:val="32"/>
        </w:rPr>
        <w:t>：反映财政部门集中安排的公务员医疗补助经费。</w:t>
      </w:r>
    </w:p>
    <w:p>
      <w:pPr>
        <w:pStyle w:val="12"/>
        <w:spacing w:before="93"/>
        <w:ind w:firstLine="640" w:firstLineChars="200"/>
        <w:rPr>
          <w:rFonts w:ascii="仿宋_GB2312" w:eastAsia="仿宋_GB2312" w:cs="仿宋"/>
          <w:color w:val="000000"/>
          <w:sz w:val="32"/>
          <w:szCs w:val="32"/>
        </w:rPr>
      </w:pPr>
      <w:r>
        <w:rPr>
          <w:rFonts w:hint="eastAsia" w:ascii="仿宋_GB2312" w:eastAsia="仿宋_GB2312" w:cs="仿宋"/>
          <w:color w:val="000000"/>
          <w:sz w:val="32"/>
          <w:szCs w:val="32"/>
          <w:lang w:val="en-US" w:eastAsia="zh-CN"/>
        </w:rPr>
        <w:t>13.</w:t>
      </w:r>
      <w:r>
        <w:rPr>
          <w:rFonts w:ascii="仿宋_GB2312" w:eastAsia="仿宋_GB2312" w:cs="仿宋"/>
          <w:color w:val="000000"/>
          <w:sz w:val="32"/>
          <w:szCs w:val="32"/>
        </w:rPr>
        <w:t xml:space="preserve"> 住房保障支出（类）住房改革支出（款）住房公积金（项）：反映行政事业单位按人力资源和社会保障部、财政部规定的基本工资和津贴补贴以及规定比例为职工缴纳的住房公积金。</w:t>
      </w:r>
    </w:p>
    <w:p>
      <w:pPr>
        <w:widowControl/>
        <w:spacing w:before="100" w:beforeAutospacing="1" w:after="100" w:afterAutospacing="1"/>
        <w:ind w:firstLine="640" w:firstLineChars="200"/>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购房补贴：反映按房改政策规定，行政事业单位向符合条件职工（含离退休人员）、军队（含武警）向转役复员离退休人员发放的用于购买住房的补贴。</w:t>
      </w:r>
    </w:p>
    <w:p>
      <w:pPr>
        <w:widowControl/>
        <w:spacing w:before="100" w:beforeAutospacing="1" w:after="100" w:afterAutospacing="1"/>
        <w:jc w:val="left"/>
        <w:rPr>
          <w:rFonts w:ascii="仿宋_GB2312" w:hAnsi="Calibri" w:eastAsia="仿宋_GB2312" w:cs="仿宋"/>
          <w:color w:val="000000"/>
          <w:kern w:val="0"/>
          <w:sz w:val="32"/>
          <w:szCs w:val="32"/>
        </w:rPr>
      </w:pPr>
      <w:r>
        <w:rPr>
          <w:rFonts w:ascii="仿宋_GB2312" w:hAnsi="Calibri" w:eastAsia="仿宋_GB2312" w:cs="仿宋"/>
          <w:color w:val="000000"/>
          <w:kern w:val="0"/>
          <w:sz w:val="32"/>
          <w:szCs w:val="32"/>
        </w:rPr>
        <w:t>　　其他支出（类）其他政府性基金及对应专项债务收入安排的支出（款） 其他政府性基金及对应专项债务收入安排的支出（项）：反映其他政府性基金及对应专项债务收入安排的支出（包括用以前年度欠款收入安排的支出）。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numPr>
          <w:ilvl w:val="0"/>
          <w:numId w:val="0"/>
        </w:numPr>
        <w:ind w:firstLine="640" w:firstLineChars="200"/>
        <w:rPr>
          <w:rFonts w:hint="default" w:ascii="仿宋_GB2312" w:eastAsia="仿宋_GB2312" w:cs="仿宋"/>
          <w:color w:val="000000"/>
          <w:sz w:val="32"/>
          <w:szCs w:val="32"/>
          <w:lang w:val="en-US" w:eastAsia="zh-CN"/>
        </w:rPr>
      </w:pPr>
    </w:p>
    <w:p>
      <w:pPr>
        <w:spacing w:line="600" w:lineRule="exact"/>
        <w:jc w:val="both"/>
        <w:outlineLvl w:val="0"/>
        <w:rPr>
          <w:rStyle w:val="26"/>
          <w:rFonts w:ascii="黑体" w:hAnsi="黑体" w:eastAsia="黑体"/>
          <w:b w:val="0"/>
        </w:rPr>
      </w:pPr>
      <w:bookmarkStart w:id="66" w:name="_Toc15377226"/>
      <w:r>
        <w:rPr>
          <w:rFonts w:ascii="宋体"/>
          <w:b/>
          <w:color w:val="000000"/>
          <w:sz w:val="44"/>
          <w:szCs w:val="44"/>
        </w:rPr>
        <w:br w:type="page"/>
      </w:r>
      <w:bookmarkStart w:id="67" w:name="_Toc15396614"/>
      <w:bookmarkStart w:id="68" w:name="_Toc4883"/>
      <w:r>
        <w:rPr>
          <w:rFonts w:hint="eastAsia" w:ascii="宋体"/>
          <w:b/>
          <w:color w:val="000000"/>
          <w:sz w:val="44"/>
          <w:szCs w:val="44"/>
          <w:lang w:val="en-US" w:eastAsia="zh-CN"/>
        </w:rPr>
        <w:t xml:space="preserve">            </w:t>
      </w:r>
      <w:r>
        <w:rPr>
          <w:rFonts w:hint="eastAsia" w:ascii="黑体" w:hAnsi="黑体" w:eastAsia="黑体"/>
          <w:color w:val="000000"/>
          <w:sz w:val="44"/>
          <w:szCs w:val="44"/>
        </w:rPr>
        <w:t>第四部分 附件</w:t>
      </w:r>
      <w:bookmarkEnd w:id="67"/>
      <w:bookmarkEnd w:id="68"/>
    </w:p>
    <w:p>
      <w:pPr>
        <w:spacing w:line="600" w:lineRule="exact"/>
        <w:jc w:val="left"/>
        <w:outlineLvl w:val="0"/>
        <w:rPr>
          <w:rFonts w:hint="eastAsia" w:ascii="仿宋_GB2312" w:hAnsi="Calibri" w:eastAsia="仿宋_GB2312" w:cs="仿宋"/>
          <w:color w:val="000000"/>
          <w:kern w:val="0"/>
          <w:sz w:val="32"/>
          <w:szCs w:val="32"/>
          <w:lang w:val="en-US" w:eastAsia="zh-CN" w:bidi="ar-SA"/>
        </w:rPr>
      </w:pPr>
      <w:bookmarkStart w:id="69" w:name="_Toc11820"/>
      <w:r>
        <w:rPr>
          <w:rFonts w:hint="eastAsia" w:ascii="仿宋_GB2312" w:hAnsi="Calibri" w:eastAsia="仿宋_GB2312" w:cs="仿宋"/>
          <w:color w:val="000000"/>
          <w:kern w:val="0"/>
          <w:sz w:val="32"/>
          <w:szCs w:val="32"/>
          <w:lang w:val="en-US" w:eastAsia="zh-CN" w:bidi="ar-SA"/>
        </w:rPr>
        <w:t>附件1</w:t>
      </w:r>
      <w:bookmarkEnd w:id="69"/>
    </w:p>
    <w:p>
      <w:pPr>
        <w:spacing w:line="580" w:lineRule="exact"/>
        <w:jc w:val="center"/>
        <w:rPr>
          <w:rFonts w:ascii="方正小标宋简体" w:hAnsi="方正小标宋简体" w:eastAsia="方正小标宋简体" w:cs="方正小标宋简体"/>
          <w:sz w:val="44"/>
          <w:szCs w:val="44"/>
        </w:rPr>
      </w:pPr>
    </w:p>
    <w:p>
      <w:pPr>
        <w:widowControl/>
        <w:spacing w:before="174" w:beforeLines="40" w:after="217" w:afterLines="50" w:line="540" w:lineRule="exact"/>
        <w:jc w:val="center"/>
        <w:rPr>
          <w:rFonts w:hint="eastAsia"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省人大常委会办公厅</w:t>
      </w:r>
    </w:p>
    <w:p>
      <w:pPr>
        <w:widowControl/>
        <w:spacing w:before="174" w:beforeLines="40" w:after="217" w:afterLines="50" w:line="540" w:lineRule="exact"/>
        <w:jc w:val="center"/>
        <w:rPr>
          <w:rFonts w:hint="eastAsia"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20</w:t>
      </w:r>
      <w:r>
        <w:rPr>
          <w:rFonts w:hint="eastAsia" w:ascii="方正小标宋简体" w:hAnsi="宋体" w:eastAsia="方正小标宋简体"/>
          <w:sz w:val="44"/>
          <w:szCs w:val="44"/>
          <w:shd w:val="clear" w:color="auto" w:fill="FFFFFF"/>
          <w:lang w:val="en-US" w:eastAsia="zh-CN"/>
        </w:rPr>
        <w:t>20</w:t>
      </w:r>
      <w:r>
        <w:rPr>
          <w:rFonts w:hint="eastAsia" w:ascii="方正小标宋简体" w:hAnsi="宋体" w:eastAsia="方正小标宋简体"/>
          <w:sz w:val="44"/>
          <w:szCs w:val="44"/>
          <w:shd w:val="clear" w:color="auto" w:fill="FFFFFF"/>
        </w:rPr>
        <w:t>年</w:t>
      </w:r>
      <w:r>
        <w:rPr>
          <w:rFonts w:hint="eastAsia" w:ascii="方正小标宋简体" w:hAnsi="宋体" w:eastAsia="方正小标宋简体"/>
          <w:sz w:val="44"/>
          <w:szCs w:val="44"/>
          <w:shd w:val="clear" w:color="auto" w:fill="FFFFFF"/>
          <w:lang w:val="en-US" w:eastAsia="zh-CN"/>
        </w:rPr>
        <w:t>度</w:t>
      </w:r>
      <w:r>
        <w:rPr>
          <w:rFonts w:hint="eastAsia" w:ascii="方正小标宋简体" w:hAnsi="宋体" w:eastAsia="方正小标宋简体"/>
          <w:sz w:val="44"/>
          <w:szCs w:val="44"/>
          <w:shd w:val="clear" w:color="auto" w:fill="FFFFFF"/>
        </w:rPr>
        <w:t>部门整体支出绩效评价报告</w:t>
      </w:r>
    </w:p>
    <w:p>
      <w:pPr>
        <w:widowControl/>
        <w:spacing w:line="580" w:lineRule="exact"/>
        <w:contextualSpacing/>
        <w:jc w:val="center"/>
        <w:rPr>
          <w:rFonts w:hint="eastAsia" w:ascii="宋体" w:hAnsi="宋体" w:eastAsia="宋体"/>
          <w:b/>
          <w:sz w:val="44"/>
          <w:szCs w:val="44"/>
          <w:shd w:val="clear" w:color="auto" w:fill="FFFFFF"/>
        </w:rPr>
      </w:pPr>
    </w:p>
    <w:p>
      <w:pPr>
        <w:spacing w:before="174" w:beforeLines="40" w:after="217" w:afterLines="50" w:line="54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省财政厅：</w:t>
      </w:r>
    </w:p>
    <w:p>
      <w:pPr>
        <w:spacing w:before="174" w:beforeLines="40" w:after="217" w:afterLines="50" w:line="540" w:lineRule="exact"/>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按照《财政厅关于开展2020年省级部门整体预算绩效评价工作的通知》（川财绩﹝2020﹞9号）的要求，现对省人大常委会办公厅2019年部门整体预算绩效自评情况报告如下：</w:t>
      </w:r>
    </w:p>
    <w:p>
      <w:pPr>
        <w:widowControl/>
        <w:adjustRightInd w:val="0"/>
        <w:snapToGrid w:val="0"/>
        <w:spacing w:line="580" w:lineRule="exact"/>
        <w:ind w:firstLine="643" w:firstLineChars="200"/>
        <w:contextualSpacing/>
        <w:jc w:val="left"/>
        <w:rPr>
          <w:rFonts w:ascii="黑体" w:hAnsi="宋体" w:eastAsia="黑体" w:cs="宋体"/>
          <w:b/>
          <w:bCs/>
          <w:color w:val="000000"/>
          <w:kern w:val="0"/>
          <w:sz w:val="32"/>
          <w:szCs w:val="32"/>
          <w:shd w:val="clear" w:color="auto" w:fill="FFFFFF"/>
          <w:lang w:val="zh-CN"/>
        </w:rPr>
      </w:pPr>
      <w:r>
        <w:rPr>
          <w:rFonts w:hint="eastAsia" w:ascii="黑体" w:hAnsi="宋体" w:eastAsia="黑体" w:cs="宋体"/>
          <w:b/>
          <w:bCs/>
          <w:color w:val="000000"/>
          <w:kern w:val="0"/>
          <w:sz w:val="32"/>
          <w:szCs w:val="32"/>
          <w:shd w:val="clear" w:color="auto" w:fill="FFFFFF"/>
        </w:rPr>
        <w:t>一、</w:t>
      </w:r>
      <w:r>
        <w:rPr>
          <w:rFonts w:hint="eastAsia" w:ascii="黑体" w:hAnsi="宋体" w:eastAsia="黑体" w:cs="宋体"/>
          <w:b/>
          <w:bCs/>
          <w:color w:val="000000"/>
          <w:kern w:val="0"/>
          <w:sz w:val="32"/>
          <w:szCs w:val="32"/>
          <w:shd w:val="clear" w:color="auto" w:fill="FFFFFF"/>
          <w:lang w:val="zh-CN"/>
        </w:rPr>
        <w:t>部门（单位）概况</w:t>
      </w:r>
    </w:p>
    <w:p>
      <w:pPr>
        <w:spacing w:before="217" w:beforeLines="50" w:after="217" w:afterLines="50" w:line="540" w:lineRule="exact"/>
        <w:ind w:firstLine="645"/>
        <w:jc w:val="left"/>
        <w:rPr>
          <w:rFonts w:hint="eastAsia" w:ascii="方正楷体简体" w:eastAsia="方正楷体简体"/>
          <w:b/>
          <w:sz w:val="32"/>
          <w:szCs w:val="32"/>
          <w:lang w:val="zh-CN" w:eastAsia="zh-CN"/>
        </w:rPr>
      </w:pPr>
      <w:r>
        <w:rPr>
          <w:rFonts w:hint="eastAsia" w:ascii="方正楷体简体" w:eastAsia="方正楷体简体"/>
          <w:b/>
          <w:sz w:val="32"/>
          <w:szCs w:val="32"/>
          <w:lang w:val="zh-CN" w:eastAsia="zh-CN"/>
        </w:rPr>
        <w:t>（一）机构组成</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省人大常委会办公厅下属二级预算单位四个，其中行政单位一个，参照公务员法管理的事业单位一个，其他事业单位两个。主要包括：四川省人大常委会办公厅机关、四川省省级机关老干部休养三所、四川省人大常委会办公厅机关服务中心和四川省人大常委会办公厅信息中心。</w:t>
      </w:r>
    </w:p>
    <w:p>
      <w:pPr>
        <w:spacing w:before="217" w:beforeLines="50" w:after="217" w:afterLines="50" w:line="540" w:lineRule="exact"/>
        <w:ind w:firstLine="645"/>
        <w:jc w:val="left"/>
        <w:rPr>
          <w:rFonts w:hint="eastAsia" w:ascii="方正楷体简体" w:eastAsia="方正楷体简体"/>
          <w:b/>
          <w:sz w:val="32"/>
          <w:szCs w:val="32"/>
          <w:lang w:val="zh-CN" w:eastAsia="zh-CN"/>
        </w:rPr>
      </w:pPr>
      <w:r>
        <w:rPr>
          <w:rFonts w:hint="eastAsia" w:ascii="方正楷体简体" w:eastAsia="方正楷体简体"/>
          <w:b/>
          <w:sz w:val="32"/>
          <w:szCs w:val="32"/>
          <w:lang w:val="zh-CN" w:eastAsia="zh-CN"/>
        </w:rPr>
        <w:t>（二）机构职能</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四川省人大常委会办公厅是四川省人大常委会的办事工作机构，根据三定方案表述，主要职能是：</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承担省人民代表大会会议、常委会会议、常委会党组会议、常委会主任会议和秘书长会议、机关党组会议的会务工作及会议决定事项的督办工作。</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负责常委会组成人员视察和常委会执法检查的有关工作。</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负责省人大及其常委会的文电、档案、保密、文印工作；负常委会机关信息网络建设和办公自动化建设；负责编辑出版《四川省人大常委会公报》。</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受主任会议委托，拟订有关议案草案。</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承办省人大常委会同各市、州、县人大常委会联系的有关工作。</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负责省人大常委会的新闻发布会和宣传工作，组织对省人民代表大会、常委会会议、常委会主任会议以及对民主法制建设、人大制度、人大工作的宣传报道。受常委会委托，负责联系宣传新闻部门和常委会机关刊物，分管《人民权力报》和《民主法制建设》杂志。</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负责省人大机关的机构编制、人事管理、干部培训工作及离退休人员的管理服务工作。</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负责省人大机关、锦江大礼堂的安全保卫和管理工作。</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协办全国人大常委会领导同志来川视察的接待工作，承办兄弟省(区、市)人大常委会领导同志来川考察的接待工作。</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负责省人大机关的财务管理、国有资产管理工作。</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受省人大常委会、常委会党组会议、常委会主任会议、机关党组会议、秘书长会议和常委会主任、副主任、秘书长的委托，综合协调常委会及专门委员会办事工作机构的工作。</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承办省人大常委会、常委会党组会议、常委会主任会议、机关党组会议、秘书长会议和常委会主任、副主任、秘书长、副秘书长交办的有关工作。</w:t>
      </w:r>
    </w:p>
    <w:p>
      <w:pPr>
        <w:spacing w:before="217" w:beforeLines="50" w:after="217" w:afterLines="50" w:line="540" w:lineRule="exact"/>
        <w:ind w:firstLine="645"/>
        <w:jc w:val="left"/>
        <w:rPr>
          <w:rFonts w:hint="eastAsia" w:ascii="方正楷体简体" w:eastAsia="方正楷体简体"/>
          <w:b/>
          <w:sz w:val="32"/>
          <w:szCs w:val="32"/>
          <w:lang w:val="zh-CN" w:eastAsia="zh-CN"/>
        </w:rPr>
      </w:pPr>
      <w:r>
        <w:rPr>
          <w:rFonts w:hint="eastAsia" w:ascii="方正楷体简体" w:eastAsia="方正楷体简体"/>
          <w:b/>
          <w:sz w:val="32"/>
          <w:szCs w:val="32"/>
          <w:lang w:val="zh-CN" w:eastAsia="zh-CN"/>
        </w:rPr>
        <w:t>（三）人员概况</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人员编制情况：截至2019年12月31日，省人大常委会办公厅编制人数为312人，其中：省人大机关行政编制217人，行政工勤人员3人；事业单位参照公务员法管理人员21人；财政补助事业人员71人。</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人员实有情况：截至2019年12月31日，实有人数为267人，其中：在职人员261人，离休人员6人。在职人员和上年一致，离休干部较上年度减少3人。</w:t>
      </w:r>
    </w:p>
    <w:p>
      <w:pPr>
        <w:widowControl/>
        <w:adjustRightInd w:val="0"/>
        <w:snapToGrid w:val="0"/>
        <w:spacing w:line="580" w:lineRule="exact"/>
        <w:ind w:firstLine="643"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二、部门财政资金收支情况</w:t>
      </w:r>
    </w:p>
    <w:p>
      <w:pPr>
        <w:spacing w:before="217" w:beforeLines="50" w:after="217" w:afterLines="50" w:line="540" w:lineRule="exact"/>
        <w:ind w:firstLine="645"/>
        <w:jc w:val="left"/>
        <w:rPr>
          <w:rFonts w:hint="eastAsia" w:ascii="方正楷体简体" w:eastAsia="方正楷体简体"/>
          <w:b/>
          <w:sz w:val="32"/>
          <w:szCs w:val="32"/>
          <w:lang w:val="zh-CN"/>
        </w:rPr>
      </w:pPr>
      <w:r>
        <w:rPr>
          <w:rFonts w:hint="eastAsia" w:ascii="方正楷体简体" w:eastAsia="方正楷体简体"/>
          <w:b/>
          <w:sz w:val="32"/>
          <w:szCs w:val="32"/>
          <w:lang w:eastAsia="zh-CN"/>
        </w:rPr>
        <w:t>（一）</w:t>
      </w:r>
      <w:r>
        <w:rPr>
          <w:rFonts w:hint="eastAsia" w:ascii="方正楷体简体" w:eastAsia="方正楷体简体"/>
          <w:b/>
          <w:sz w:val="32"/>
          <w:szCs w:val="32"/>
        </w:rPr>
        <w:t>部门财政资金收入情况：</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根据2019年部门决算报表，2019年省人大常委会办公厅财政资金收入为14575.12万元。其中：办公厅本级收入13501.64万元、省级机关老干部休养三所收入406.1万元、省人大常委会办公厅机关服务中心年收入616.99万元、省人大常委会办公厅信息中心收入50.39万元。</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lang w:eastAsia="zh-CN"/>
        </w:rPr>
        <w:t>（二）</w:t>
      </w:r>
      <w:r>
        <w:rPr>
          <w:rFonts w:hint="eastAsia" w:ascii="方正楷体简体" w:eastAsia="方正楷体简体"/>
          <w:b/>
          <w:sz w:val="32"/>
          <w:szCs w:val="32"/>
        </w:rPr>
        <w:t>部门财政资金支出情况：</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根据2019年部门决算报表，2019年省人大常委会办公厅财政资金支出为12783.74万元。其中：办公厅本级支出11942.07万元、省级机关老干部休养三所支出325.37万元、省人大常委会办公厅机关服务中心年支出462.28万元、省人大常委会办公厅信息中心支出54.02万元。</w:t>
      </w:r>
    </w:p>
    <w:p>
      <w:pPr>
        <w:widowControl/>
        <w:numPr>
          <w:ilvl w:val="0"/>
          <w:numId w:val="5"/>
        </w:numPr>
        <w:adjustRightInd w:val="0"/>
        <w:snapToGrid w:val="0"/>
        <w:spacing w:line="580" w:lineRule="exact"/>
        <w:ind w:firstLine="643" w:firstLineChars="200"/>
        <w:contextualSpacing/>
        <w:jc w:val="left"/>
        <w:rPr>
          <w:rFonts w:hint="eastAsia"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部门整体预算绩效管理情况</w:t>
      </w:r>
    </w:p>
    <w:p>
      <w:pPr>
        <w:spacing w:before="217" w:beforeLines="50" w:after="217" w:afterLines="50" w:line="540" w:lineRule="exact"/>
        <w:ind w:firstLine="645"/>
        <w:jc w:val="left"/>
        <w:rPr>
          <w:rFonts w:hint="eastAsia" w:ascii="方正楷体简体" w:eastAsia="方正楷体简体"/>
          <w:b/>
          <w:sz w:val="32"/>
          <w:szCs w:val="32"/>
          <w:lang w:val="zh-CN"/>
        </w:rPr>
      </w:pPr>
      <w:r>
        <w:rPr>
          <w:rFonts w:hint="eastAsia" w:ascii="方正楷体简体" w:eastAsia="方正楷体简体"/>
          <w:b/>
          <w:sz w:val="32"/>
          <w:szCs w:val="32"/>
          <w:lang w:val="zh-CN"/>
        </w:rPr>
        <w:t>（一）预算编制</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1、目标制定：得分</w:t>
      </w:r>
      <w:r>
        <w:rPr>
          <w:rFonts w:hint="eastAsia" w:ascii="方正楷体简体" w:eastAsia="方正楷体简体"/>
          <w:b/>
          <w:sz w:val="32"/>
          <w:szCs w:val="32"/>
          <w:lang w:val="en-US" w:eastAsia="zh-CN"/>
        </w:rPr>
        <w:t>9.5</w:t>
      </w:r>
      <w:r>
        <w:rPr>
          <w:rFonts w:hint="eastAsia" w:ascii="方正楷体简体" w:eastAsia="方正楷体简体"/>
          <w:b/>
          <w:sz w:val="32"/>
          <w:szCs w:val="32"/>
        </w:rPr>
        <w:t>分</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绩效目标编制紧扣办公厅职能职责。2019年，省人大常委会办公厅立足服务省人大常委会中心工作，以“切实提高政治站位，深入推进讲忠诚有信念的政治机关建设；大力加强依法治省，深入推进讲法治有权威的权力机关建设；积极服务全省大局，深入推进讲责任有担当的工作机关建设；切实加强代表工作，深入推进讲宗旨有情怀的代表机关建设；适应新时代新要求，努力提高自身建设水平”五个方面工作为重点。办公厅以实现基本职能职责为导向，结合2019年度办公厅整体工作计划和目标任务，科学合理设置了部门整体支出绩效目标。专用项目绩效目标编制过程中，由资金使用部门根据项目实施方案、计划，和预期将达到的绩效目标如实填报效果目标，做到了绩效目标符合各自项目特点。部门编制专用项目绩效目标后，经办公厅审核，确保预算金额和绩效目标相匹配。</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绩效目标符合预算绩效目标管理办法。省人大办公厅围绕部门职能，以预算资金管理为主线，统筹考虑资产和业务活动，从运行成本、管理效率、履职效能、社会效益、可持续发展能力和服务对象满意度方面，设定绩效目标，衡量部门整体和部分专用项目预算执行效果。绩效目标编制与相应的资金使用内容、范围、方向紧密相关，指向明确。指标值采用定量表述和定性表述相结合的办法，充分细化量化。</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2、目标</w:t>
      </w:r>
      <w:r>
        <w:rPr>
          <w:rFonts w:hint="eastAsia" w:ascii="方正楷体简体" w:eastAsia="方正楷体简体"/>
          <w:b/>
          <w:sz w:val="32"/>
          <w:szCs w:val="32"/>
          <w:lang w:eastAsia="zh-CN"/>
        </w:rPr>
        <w:t>实现</w:t>
      </w:r>
      <w:r>
        <w:rPr>
          <w:rFonts w:hint="eastAsia" w:ascii="方正楷体简体" w:eastAsia="方正楷体简体"/>
          <w:b/>
          <w:sz w:val="32"/>
          <w:szCs w:val="32"/>
        </w:rPr>
        <w:t>：得分</w:t>
      </w:r>
      <w:r>
        <w:rPr>
          <w:rFonts w:hint="eastAsia" w:ascii="方正楷体简体" w:eastAsia="方正楷体简体"/>
          <w:b/>
          <w:sz w:val="32"/>
          <w:szCs w:val="32"/>
          <w:lang w:val="en-US" w:eastAsia="zh-CN"/>
        </w:rPr>
        <w:t>9.5</w:t>
      </w:r>
      <w:r>
        <w:rPr>
          <w:rFonts w:hint="eastAsia" w:ascii="方正楷体简体" w:eastAsia="方正楷体简体"/>
          <w:b/>
          <w:sz w:val="32"/>
          <w:szCs w:val="32"/>
        </w:rPr>
        <w:t>分</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履职成效：2019年，认真贯彻党的十九届四中全会和省委十一届六次全会精神，按照坚持和完善党的领导制度体系、人民当家作主制度体系的要求，进一步健全人大组织制度、选举制度和议事制度。召开27次常委会党组会议、39次机关党组会议，抓好中央和省委决策部署的传达学习和贯彻落实。扎实开展“不忘初心、牢记使命”主题教育。常委会领导带头讲党课，带头深入基层开展专题调研，召开基层人大代表和人大工作者座谈会，形成7篇调研报告。紧扣全省工作大局和省委关于地方立法工作的部署，坚持科学立法、民主立法、依法立法，统筹做好立改废释工作。制定省级地方性法规9件、修改9件、废止1件，批准市州地方性法规38件、民族自治地方单行条例7件，为治蜀兴川提供了法治保障。坚持依法开展监督工作，推动中央和省委重大决策部署贯彻落实，推动法律法规有效实施。听取和审议专项工作报告51个，作出决定决议5项，开展执法检查5次。坚持以人民为中心的发展思想，做深做实代表工作，支持和保障代表依法履职，促进代表更好为人民代言、为人民谋利、为人民服务，共受理群众来信来访3133人件次，促进依法解决群众合理合法诉求。认真贯彻新时代党的建设总要求，严格落实全面从严治党责任，深入开展“四讲四有”人大建设，在加强思想政治建设的同时，着力抓好制度、能力、作风建设，推动自身建设取得新进步。</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可持续发展能力：强化制度建设。深化人大机构改革，加强专门委员会建设。完善调查研究制度，制定关于加强和改进调研工作的意见，组织开展经济发展、社会治理、环境保护等9个重点课题调研。坚持邀请县级人大常委会主任列席省人代会，邀请部分市县乡三级人大负责人列席常委会会议。制定公民旁听省人代会和常委会会议规定，邀请公民59人次旁听会议，并召开6次座谈会专门听取意见建议。强化能力建设。开展教育培训，重点加强经济、政治、文化、社会、生态文明和党的建设知识的学习，着力提高做好人大工作的政治能力、法治能力、监督能力、审议能力和调研能力。优化干部年龄、专业结构，加强干部培养、使用和交流，组织干部到党校调训、到基层挂职锻炼，赴小平干部学院、夹金山干部学院等开展培训。加强法律学习培训，组织学习宪法、立法法、监督法、代表法等，增强依法办事的意识和能力。强化作风建设。严格落实中央八项规定精神和省委、省政府十项规定及其实施细则，着力解决形式主义、官僚主义问题。</w:t>
      </w:r>
    </w:p>
    <w:p>
      <w:pPr>
        <w:spacing w:before="174" w:beforeLines="40" w:after="217" w:afterLines="50" w:line="540" w:lineRule="exact"/>
        <w:ind w:firstLine="640" w:firstLineChars="200"/>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社会效益和满意度情况：坚持以人民为中心的发展思想，做深做实代表工作，支持和保障代表依法履职，促进代表更好为人民代言、为人民谋利、为人民服务。邀请代</w:t>
      </w:r>
      <w:r>
        <w:rPr>
          <w:rFonts w:hint="eastAsia" w:ascii="仿宋_GB2312" w:hAnsi="Calibri" w:eastAsia="仿宋_GB2312" w:cs="仿宋"/>
          <w:color w:val="000000"/>
          <w:kern w:val="0"/>
          <w:sz w:val="32"/>
          <w:szCs w:val="32"/>
          <w:lang w:val="zh-CN" w:eastAsia="zh-CN" w:bidi="ar-SA"/>
        </w:rPr>
        <w:t>表62</w:t>
      </w:r>
      <w:r>
        <w:rPr>
          <w:rFonts w:hint="eastAsia" w:ascii="仿宋_GB2312" w:hAnsi="Calibri" w:eastAsia="仿宋_GB2312" w:cs="仿宋"/>
          <w:color w:val="000000"/>
          <w:kern w:val="0"/>
          <w:sz w:val="32"/>
          <w:szCs w:val="32"/>
          <w:lang w:val="en-US" w:eastAsia="zh-CN" w:bidi="ar-SA"/>
        </w:rPr>
        <w:t>人次列席常委会会议，并召开5次座谈会专门听取意见建议。持续开展“脱贫攻坚—人大代表再行动”活动，各级代表联系贫困户</w:t>
      </w:r>
      <w:r>
        <w:rPr>
          <w:rFonts w:hint="eastAsia" w:ascii="仿宋_GB2312" w:hAnsi="Calibri" w:eastAsia="仿宋_GB2312" w:cs="仿宋"/>
          <w:color w:val="000000"/>
          <w:kern w:val="0"/>
          <w:sz w:val="32"/>
          <w:szCs w:val="32"/>
          <w:lang w:val="zh-CN" w:eastAsia="zh-CN" w:bidi="ar-SA"/>
        </w:rPr>
        <w:t>22.5万户，走访慰问贫困群众63万余人次，提出意见建议3.7万件次</w:t>
      </w:r>
      <w:r>
        <w:rPr>
          <w:rFonts w:hint="eastAsia" w:ascii="仿宋_GB2312" w:hAnsi="Calibri" w:eastAsia="仿宋_GB2312" w:cs="仿宋"/>
          <w:color w:val="000000"/>
          <w:kern w:val="0"/>
          <w:sz w:val="32"/>
          <w:szCs w:val="32"/>
          <w:lang w:val="en-US" w:eastAsia="zh-CN" w:bidi="ar-SA"/>
        </w:rPr>
        <w:t>。在雅安、眉山2个市，雁江、资中、射洪3个区县和广汉高坪、昭化石井铺2个镇，开展民生实事项目代表票决制试点，共征集项目建</w:t>
      </w:r>
      <w:r>
        <w:rPr>
          <w:rFonts w:hint="eastAsia" w:ascii="仿宋_GB2312" w:hAnsi="Calibri" w:eastAsia="仿宋_GB2312" w:cs="仿宋"/>
          <w:color w:val="000000"/>
          <w:kern w:val="0"/>
          <w:sz w:val="32"/>
          <w:szCs w:val="32"/>
          <w:lang w:val="zh-CN" w:eastAsia="zh-CN" w:bidi="ar-SA"/>
        </w:rPr>
        <w:t>议6992个，票决实施项目881</w:t>
      </w:r>
      <w:r>
        <w:rPr>
          <w:rFonts w:hint="eastAsia" w:ascii="仿宋_GB2312" w:hAnsi="Calibri" w:eastAsia="仿宋_GB2312" w:cs="仿宋"/>
          <w:color w:val="000000"/>
          <w:kern w:val="0"/>
          <w:sz w:val="32"/>
          <w:szCs w:val="32"/>
          <w:lang w:val="en-US" w:eastAsia="zh-CN" w:bidi="ar-SA"/>
        </w:rPr>
        <w:t>个。常委会组成人员联系243名基层省人大代表，向代表通报常委会工作情况，听取有关工作建议，为代表依法履职提供支持帮助。围绕代表履职需要，拓展培训内容，丰富培训形式，分两期培训270名省人大代表，并将省人大常委会组织的代表培训，延伸扩展到市县乡三级人大代表和人大工作者。省十三届人大二次会议主席团交付有关专门委员会审议的11件议案全部审议完毕，涉及的9个立法项目，其中1项已进入审议程序，2项已进行立法调研，6项已展开研究论证。代表提出的1083件建议，已全部办理完毕。</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3、编制准确：得分</w:t>
      </w:r>
      <w:r>
        <w:rPr>
          <w:rFonts w:hint="eastAsia" w:ascii="方正楷体简体" w:eastAsia="方正楷体简体"/>
          <w:b/>
          <w:sz w:val="32"/>
          <w:szCs w:val="32"/>
          <w:lang w:val="en-US" w:eastAsia="zh-CN"/>
        </w:rPr>
        <w:t>8.93</w:t>
      </w:r>
      <w:r>
        <w:rPr>
          <w:rFonts w:hint="eastAsia" w:ascii="方正楷体简体" w:eastAsia="方正楷体简体"/>
          <w:b/>
          <w:sz w:val="32"/>
          <w:szCs w:val="32"/>
        </w:rPr>
        <w:t>分</w:t>
      </w:r>
    </w:p>
    <w:p>
      <w:pPr>
        <w:spacing w:before="217" w:beforeLines="50" w:after="217" w:afterLines="50" w:line="540" w:lineRule="exact"/>
        <w:ind w:firstLine="645"/>
        <w:jc w:val="left"/>
        <w:rPr>
          <w:rFonts w:hint="default" w:ascii="方正楷体简体" w:eastAsia="方正仿宋简体"/>
          <w:b/>
          <w:sz w:val="28"/>
          <w:szCs w:val="28"/>
          <w:lang w:val="en-US" w:eastAsia="zh-CN"/>
        </w:rPr>
      </w:pPr>
      <w:r>
        <w:rPr>
          <w:rFonts w:hint="eastAsia" w:ascii="仿宋_GB2312" w:hAnsi="Calibri" w:eastAsia="仿宋_GB2312" w:cs="仿宋"/>
          <w:color w:val="000000"/>
          <w:kern w:val="0"/>
          <w:sz w:val="32"/>
          <w:szCs w:val="32"/>
          <w:lang w:val="en-US" w:eastAsia="zh-CN" w:bidi="ar-SA"/>
        </w:rPr>
        <w:t>2019年财政下达年度预算总额11105.18万元，预算调剂金额118.4万元，评分标准满分10分，根据评分公式计算，得分8.93分。其中物业管理费政府采购和非政府采购调整45.85万元，设备购置费调整5.7万元，信息化建设及运行维护费调整66.85万元。</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（二）预算执行</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1、支出控制：得分9分</w:t>
      </w:r>
    </w:p>
    <w:p>
      <w:pPr>
        <w:spacing w:before="217" w:beforeLines="50" w:after="217" w:afterLines="50" w:line="540" w:lineRule="exact"/>
        <w:ind w:firstLine="645"/>
        <w:jc w:val="left"/>
        <w:rPr>
          <w:rFonts w:hint="eastAsia" w:eastAsia="方正仿宋简体"/>
          <w:b/>
          <w:sz w:val="28"/>
          <w:szCs w:val="28"/>
          <w:lang w:eastAsia="zh-CN"/>
        </w:rPr>
      </w:pPr>
      <w:r>
        <w:rPr>
          <w:rFonts w:hint="eastAsia" w:ascii="仿宋_GB2312" w:hAnsi="Calibri" w:eastAsia="仿宋_GB2312" w:cs="仿宋"/>
          <w:color w:val="000000"/>
          <w:kern w:val="0"/>
          <w:sz w:val="32"/>
          <w:szCs w:val="32"/>
          <w:lang w:val="en-US" w:eastAsia="zh-CN" w:bidi="ar-SA"/>
        </w:rPr>
        <w:t>日常公用经费和项目支出中水费、电费、物业管理费等年初预算4809万元，年末决算4631.21万元，差额177.79万元，预决算偏差度3.6%，控制在10%以内，满分10分，得分9分。</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2、动态调整：得分9</w:t>
      </w:r>
      <w:r>
        <w:rPr>
          <w:rFonts w:hint="eastAsia" w:ascii="方正楷体简体" w:eastAsia="方正楷体简体"/>
          <w:b/>
          <w:sz w:val="32"/>
          <w:szCs w:val="32"/>
          <w:lang w:val="en-US" w:eastAsia="zh-CN"/>
        </w:rPr>
        <w:t>.26</w:t>
      </w:r>
      <w:r>
        <w:rPr>
          <w:rFonts w:hint="eastAsia" w:ascii="方正楷体简体" w:eastAsia="方正楷体简体"/>
          <w:b/>
          <w:sz w:val="32"/>
          <w:szCs w:val="32"/>
        </w:rPr>
        <w:t>分</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2019年财政厅对省人大办公厅绩效监控考核情况考核合格，绩效监控取消额为零，预算结余注销额87.5万元，满分10分，得分9.26分。注销金额主要为接待费、因公出国经费、公车运行维护费和政府采购结余资金。</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3、执行进度：得分</w:t>
      </w:r>
      <w:r>
        <w:rPr>
          <w:rFonts w:hint="eastAsia" w:ascii="方正楷体简体" w:eastAsia="方正楷体简体"/>
          <w:b/>
          <w:sz w:val="32"/>
          <w:szCs w:val="32"/>
          <w:lang w:val="en-US" w:eastAsia="zh-CN"/>
        </w:rPr>
        <w:t>9.82</w:t>
      </w:r>
      <w:r>
        <w:rPr>
          <w:rFonts w:hint="eastAsia" w:ascii="方正楷体简体" w:eastAsia="方正楷体简体"/>
          <w:b/>
          <w:sz w:val="32"/>
          <w:szCs w:val="32"/>
        </w:rPr>
        <w:t>分</w:t>
      </w:r>
    </w:p>
    <w:p>
      <w:pPr>
        <w:spacing w:before="217" w:beforeLines="50" w:after="217" w:afterLines="50" w:line="540" w:lineRule="exact"/>
        <w:ind w:firstLine="645"/>
        <w:jc w:val="left"/>
        <w:rPr>
          <w:rFonts w:hint="eastAsia" w:eastAsia="方正仿宋简体"/>
          <w:b/>
          <w:sz w:val="28"/>
          <w:szCs w:val="28"/>
          <w:lang w:eastAsia="zh-CN"/>
        </w:rPr>
      </w:pPr>
      <w:r>
        <w:rPr>
          <w:rFonts w:hint="eastAsia" w:ascii="仿宋_GB2312" w:hAnsi="Calibri" w:eastAsia="仿宋_GB2312" w:cs="仿宋"/>
          <w:color w:val="000000"/>
          <w:kern w:val="0"/>
          <w:sz w:val="32"/>
          <w:szCs w:val="32"/>
          <w:lang w:val="en-US" w:eastAsia="zh-CN" w:bidi="ar-SA"/>
        </w:rPr>
        <w:t>省人大办公厅2019年6月部门预算执行进度为38.8%，低于40%，得分2.91分；9月执行进度71.32%，高于要求的执行进度67.5%，得分4分；11月执行进度80% ，低于要求的执行进度82.5%，得分2.91分，以上合计9.82分。主要原因是一次性专用项目正在施工过程中，尚未完工。</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（三）完成结果</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1、预算完成：得分</w:t>
      </w:r>
      <w:r>
        <w:rPr>
          <w:rFonts w:hint="eastAsia" w:ascii="方正楷体简体" w:eastAsia="方正楷体简体"/>
          <w:b/>
          <w:sz w:val="32"/>
          <w:szCs w:val="32"/>
          <w:lang w:val="en-US" w:eastAsia="zh-CN"/>
        </w:rPr>
        <w:t>8.7</w:t>
      </w:r>
      <w:r>
        <w:rPr>
          <w:rFonts w:hint="eastAsia" w:ascii="方正楷体简体" w:eastAsia="方正楷体简体"/>
          <w:b/>
          <w:sz w:val="32"/>
          <w:szCs w:val="32"/>
        </w:rPr>
        <w:t xml:space="preserve">分 </w:t>
      </w:r>
    </w:p>
    <w:p>
      <w:pPr>
        <w:spacing w:before="217" w:beforeLines="50" w:after="217" w:afterLines="50" w:line="540" w:lineRule="exact"/>
        <w:ind w:firstLine="645"/>
        <w:jc w:val="left"/>
        <w:rPr>
          <w:rFonts w:hint="eastAsia" w:eastAsia="方正仿宋简体"/>
          <w:b/>
          <w:sz w:val="28"/>
          <w:szCs w:val="28"/>
        </w:rPr>
      </w:pPr>
      <w:r>
        <w:rPr>
          <w:rFonts w:hint="eastAsia" w:ascii="仿宋_GB2312" w:hAnsi="Calibri" w:eastAsia="仿宋_GB2312" w:cs="仿宋"/>
          <w:color w:val="000000"/>
          <w:kern w:val="0"/>
          <w:sz w:val="32"/>
          <w:szCs w:val="32"/>
          <w:lang w:val="en-US" w:eastAsia="zh-CN" w:bidi="ar-SA"/>
        </w:rPr>
        <w:t>省人大办公厅12月部门预算执行进度87%，根据评分标准，得分8.7分。</w:t>
      </w:r>
      <w:r>
        <w:rPr>
          <w:rFonts w:hint="eastAsia" w:eastAsia="方正仿宋简体"/>
          <w:b/>
          <w:sz w:val="28"/>
          <w:szCs w:val="28"/>
        </w:rPr>
        <w:t xml:space="preserve">  </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2、违规记录：得分10分</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省人大办公厅全年接受省纪委驻省人大机关纪检组常态化监督检查，接受财政厅日常监督指导和审计厅的决算审签，全年无违规记录。</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w:t>
      </w:r>
      <w:r>
        <w:rPr>
          <w:rFonts w:hint="eastAsia" w:ascii="方正楷体简体" w:eastAsia="方正楷体简体"/>
          <w:b/>
          <w:sz w:val="32"/>
          <w:szCs w:val="32"/>
          <w:lang w:eastAsia="zh-CN"/>
        </w:rPr>
        <w:t>四</w:t>
      </w:r>
      <w:r>
        <w:rPr>
          <w:rFonts w:hint="eastAsia" w:ascii="方正楷体简体" w:eastAsia="方正楷体简体"/>
          <w:b/>
          <w:sz w:val="32"/>
          <w:szCs w:val="32"/>
        </w:rPr>
        <w:t>）信息公开</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按照省财政厅的相关通知要求，省人大办公厅在省财政厅批复预算、决算后的二十日内，在财政的统一时间及规定网站，除涉密信息外向社会公开了本部门的预算、决算信息（含所有财政资金安排的“三公”经费、机关运行经费的安排、使用情况等）、部门绩效目标和部门整体绩效自评情况，得分共计2分。</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w:t>
      </w:r>
      <w:r>
        <w:rPr>
          <w:rFonts w:hint="eastAsia" w:ascii="方正楷体简体" w:eastAsia="方正楷体简体"/>
          <w:b/>
          <w:sz w:val="32"/>
          <w:szCs w:val="32"/>
          <w:lang w:eastAsia="zh-CN"/>
        </w:rPr>
        <w:t>五</w:t>
      </w:r>
      <w:r>
        <w:rPr>
          <w:rFonts w:hint="eastAsia" w:ascii="方正楷体简体" w:eastAsia="方正楷体简体"/>
          <w:b/>
          <w:sz w:val="32"/>
          <w:szCs w:val="32"/>
        </w:rPr>
        <w:t>）整改反馈</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按照省财厅绩效管理工作相关要求严格落实，认真完成年度预算绩效目标编制、日常动态监控、绩效评价和绩效评价结果运用工作，按时向财政厅报送相关情况，得分8分。</w:t>
      </w:r>
    </w:p>
    <w:p>
      <w:pPr>
        <w:spacing w:before="217" w:beforeLines="50" w:after="217" w:afterLines="50" w:line="540" w:lineRule="exact"/>
        <w:ind w:firstLine="645"/>
        <w:jc w:val="left"/>
        <w:rPr>
          <w:rFonts w:hint="eastAsia" w:ascii="方正楷体简体" w:eastAsia="方正楷体简体"/>
          <w:b/>
          <w:sz w:val="32"/>
          <w:szCs w:val="32"/>
        </w:rPr>
      </w:pPr>
      <w:r>
        <w:rPr>
          <w:rFonts w:hint="eastAsia" w:ascii="方正楷体简体" w:eastAsia="方正楷体简体"/>
          <w:b/>
          <w:sz w:val="32"/>
          <w:szCs w:val="32"/>
        </w:rPr>
        <w:t>（四）自评质量</w:t>
      </w:r>
    </w:p>
    <w:p>
      <w:pPr>
        <w:spacing w:before="217" w:beforeLines="50" w:after="217" w:afterLines="50" w:line="540" w:lineRule="exact"/>
        <w:ind w:firstLine="645"/>
        <w:jc w:val="left"/>
        <w:rPr>
          <w:rFonts w:eastAsia="方正仿宋简体"/>
          <w:b/>
          <w:sz w:val="28"/>
          <w:szCs w:val="28"/>
        </w:rPr>
      </w:pPr>
      <w:r>
        <w:rPr>
          <w:rFonts w:hint="eastAsia" w:ascii="仿宋_GB2312" w:hAnsi="Calibri" w:eastAsia="仿宋_GB2312" w:cs="仿宋"/>
          <w:color w:val="000000"/>
          <w:kern w:val="0"/>
          <w:sz w:val="32"/>
          <w:szCs w:val="32"/>
          <w:lang w:val="en-US" w:eastAsia="zh-CN" w:bidi="ar-SA"/>
        </w:rPr>
        <w:t>2019年省人大办公厅整体支出自评得分97.6与评价组抽查得分91.4差异在10%之内，得分10分。</w:t>
      </w:r>
    </w:p>
    <w:p>
      <w:pPr>
        <w:widowControl/>
        <w:adjustRightInd w:val="0"/>
        <w:snapToGrid w:val="0"/>
        <w:spacing w:line="580" w:lineRule="exact"/>
        <w:ind w:firstLine="643"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四、评价结论及建议</w:t>
      </w:r>
    </w:p>
    <w:p>
      <w:pPr>
        <w:spacing w:before="217" w:beforeLines="50" w:after="217" w:afterLines="50" w:line="540" w:lineRule="exact"/>
        <w:ind w:firstLine="645"/>
        <w:jc w:val="left"/>
        <w:rPr>
          <w:rFonts w:hint="eastAsia" w:ascii="方正楷体简体" w:eastAsia="方正楷体简体"/>
          <w:b/>
          <w:sz w:val="32"/>
          <w:szCs w:val="32"/>
          <w:lang w:val="zh-CN"/>
        </w:rPr>
      </w:pPr>
      <w:r>
        <w:rPr>
          <w:rFonts w:hint="eastAsia" w:ascii="方正楷体简体" w:eastAsia="方正楷体简体"/>
          <w:b/>
          <w:sz w:val="32"/>
          <w:szCs w:val="32"/>
        </w:rPr>
        <w:t>（一）评价结论</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zh-CN" w:eastAsia="zh-CN" w:bidi="ar-SA"/>
        </w:rPr>
      </w:pPr>
      <w:r>
        <w:rPr>
          <w:rFonts w:hint="eastAsia" w:ascii="仿宋_GB2312" w:hAnsi="Calibri" w:eastAsia="仿宋_GB2312" w:cs="仿宋"/>
          <w:color w:val="000000"/>
          <w:kern w:val="0"/>
          <w:sz w:val="32"/>
          <w:szCs w:val="32"/>
          <w:lang w:val="en-US" w:eastAsia="zh-CN" w:bidi="ar-SA"/>
        </w:rPr>
        <w:t>综上省人大办公厅2019年度部门整体绩效评价得分95.71分。</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省人大办公厅对各项专项经费的使用是以达到财政资金使用效益最大化为前提，以实现专项项目年初预算绩效目标为目的，不断改进财务管理，优化部门支出结构，加快预算执行进度，充分发挥资金使用效益。根据部门自评，省人大办公厅采取了有效的资金使用管理措施，各项资金使用严格履行审批程序，资金使用达到了预期效果，较好的服务和保障了省人大常委会圆满完成年度立法工作、监督工作、调研工作以及代表工作，实现了2019财政预算支出的绩效目标。</w:t>
      </w:r>
    </w:p>
    <w:p>
      <w:pPr>
        <w:spacing w:before="217" w:beforeLines="50" w:after="217" w:afterLines="50" w:line="540" w:lineRule="exact"/>
        <w:ind w:firstLine="645"/>
        <w:jc w:val="left"/>
        <w:rPr>
          <w:rFonts w:ascii="方正楷体简体" w:eastAsia="方正楷体简体"/>
          <w:b/>
          <w:sz w:val="32"/>
          <w:szCs w:val="32"/>
        </w:rPr>
      </w:pPr>
      <w:r>
        <w:rPr>
          <w:rFonts w:hint="eastAsia" w:ascii="方正楷体简体" w:eastAsia="方正楷体简体"/>
          <w:b/>
          <w:sz w:val="32"/>
          <w:szCs w:val="32"/>
        </w:rPr>
        <w:t>（二）存在问题</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绩效管理理念有待进一步增强。经过多年推进，机关各部门对绩效的理念有了一定的了解，但长期以来形成的“重安排，轻使用；重争取，轻管理”的思想短期难以改变，“重产出、重结果”的绩效管理理念尚未完全深入人心。</w:t>
      </w:r>
    </w:p>
    <w:p>
      <w:pPr>
        <w:spacing w:before="217" w:beforeLines="50" w:after="217" w:afterLines="50" w:line="540" w:lineRule="exact"/>
        <w:ind w:firstLine="645"/>
        <w:jc w:val="left"/>
        <w:rPr>
          <w:rFonts w:eastAsia="方正仿宋简体"/>
          <w:b/>
          <w:sz w:val="28"/>
          <w:szCs w:val="28"/>
        </w:rPr>
      </w:pPr>
      <w:r>
        <w:rPr>
          <w:rFonts w:hint="eastAsia" w:ascii="仿宋_GB2312" w:hAnsi="Calibri" w:eastAsia="仿宋_GB2312" w:cs="仿宋"/>
          <w:color w:val="000000"/>
          <w:kern w:val="0"/>
          <w:sz w:val="32"/>
          <w:szCs w:val="32"/>
          <w:lang w:val="en-US" w:eastAsia="zh-CN" w:bidi="ar-SA"/>
        </w:rPr>
        <w:t>2、规范的预算绩效管理模式还需完善。预算编制过程中的绩效目标确定、预算执行过程中的绩效监控、绩效评价结果的应用和问责等规范的预算绩效管理模式还需进一步完善。</w:t>
      </w:r>
    </w:p>
    <w:p>
      <w:pPr>
        <w:spacing w:before="217" w:beforeLines="50" w:after="217" w:afterLines="50" w:line="540" w:lineRule="exact"/>
        <w:ind w:firstLine="645"/>
        <w:jc w:val="left"/>
        <w:rPr>
          <w:rFonts w:ascii="方正楷体简体" w:eastAsia="方正楷体简体"/>
          <w:b/>
          <w:sz w:val="32"/>
          <w:szCs w:val="32"/>
        </w:rPr>
      </w:pPr>
      <w:r>
        <w:rPr>
          <w:rFonts w:hint="eastAsia" w:ascii="方正楷体简体" w:eastAsia="方正楷体简体"/>
          <w:b/>
          <w:sz w:val="32"/>
          <w:szCs w:val="32"/>
        </w:rPr>
        <w:t>（三）改进建议</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1、加大宣传力度，强化绩效理念。通过机关各种渠道，加大绩效管理理念的宣传力度，不断提高机关各部门的绩效意识，让机关各部门支持绩效管理工作，打破预算绩效管理工作的“瓶颈”。</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2、规范预算绩效管理，细化绩效管理措施。省人大常委会办公厅将严格按照省财政对预算支出绩效管理的相关要求，根据机关工作实际，加快对机关预算支出绩效管理具体措施的制定，并结合机关财务制度建设进一步规范部门预算绩效管理。</w:t>
      </w: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3、继续推进网格化服务，强化日常指导。进一步推进机关预算执行网格化服务模式，在预算执行过程中引导各部门注重预算绩效管理，服务好指导好各部门预算执行工作。</w:t>
      </w:r>
    </w:p>
    <w:p>
      <w:pPr>
        <w:spacing w:before="217" w:beforeLines="50" w:after="217" w:afterLines="50" w:line="540" w:lineRule="exact"/>
        <w:ind w:firstLine="645"/>
        <w:jc w:val="left"/>
        <w:rPr>
          <w:rFonts w:hint="eastAsia" w:eastAsia="方正仿宋简体"/>
          <w:b/>
          <w:sz w:val="28"/>
          <w:szCs w:val="28"/>
        </w:rPr>
      </w:pPr>
    </w:p>
    <w:p>
      <w:pPr>
        <w:spacing w:before="217" w:beforeLines="50" w:after="217" w:afterLines="50" w:line="540" w:lineRule="exact"/>
        <w:ind w:firstLine="645"/>
        <w:jc w:val="left"/>
        <w:rPr>
          <w:rFonts w:hint="eastAsia" w:ascii="仿宋_GB2312" w:hAnsi="Calibri" w:eastAsia="仿宋_GB2312" w:cs="仿宋"/>
          <w:color w:val="000000"/>
          <w:kern w:val="0"/>
          <w:sz w:val="32"/>
          <w:szCs w:val="32"/>
          <w:lang w:val="en-US" w:eastAsia="zh-CN" w:bidi="ar-SA"/>
        </w:rPr>
      </w:pPr>
      <w:r>
        <w:rPr>
          <w:rFonts w:hint="eastAsia" w:ascii="仿宋_GB2312" w:hAnsi="宋体" w:cs="宋体"/>
          <w:color w:val="000000"/>
          <w:kern w:val="0"/>
          <w:sz w:val="28"/>
          <w:szCs w:val="28"/>
          <w:shd w:val="clear" w:color="auto" w:fill="FFFFFF"/>
          <w:lang w:val="en-US" w:eastAsia="zh-CN"/>
        </w:rPr>
        <w:t xml:space="preserve">                         </w:t>
      </w:r>
      <w:r>
        <w:rPr>
          <w:rFonts w:hint="eastAsia" w:ascii="仿宋_GB2312" w:hAnsi="Calibri" w:eastAsia="仿宋_GB2312" w:cs="仿宋"/>
          <w:color w:val="000000"/>
          <w:kern w:val="0"/>
          <w:sz w:val="32"/>
          <w:szCs w:val="32"/>
          <w:lang w:val="en-US" w:eastAsia="zh-CN" w:bidi="ar-SA"/>
        </w:rPr>
        <w:t xml:space="preserve"> 四川省人大常委会办公厅</w:t>
      </w:r>
    </w:p>
    <w:p>
      <w:pPr>
        <w:spacing w:before="217" w:beforeLines="50" w:after="217" w:afterLines="50" w:line="540" w:lineRule="exact"/>
        <w:ind w:firstLine="645"/>
        <w:jc w:val="left"/>
        <w:rPr>
          <w:rFonts w:hint="default" w:ascii="仿宋_GB2312" w:hAnsi="Calibri" w:eastAsia="仿宋_GB2312" w:cs="仿宋"/>
          <w:color w:val="000000"/>
          <w:kern w:val="0"/>
          <w:sz w:val="32"/>
          <w:szCs w:val="32"/>
          <w:lang w:val="en-US" w:eastAsia="zh-CN" w:bidi="ar-SA"/>
        </w:rPr>
      </w:pPr>
      <w:r>
        <w:rPr>
          <w:rFonts w:hint="eastAsia" w:ascii="仿宋_GB2312" w:hAnsi="Calibri" w:eastAsia="仿宋_GB2312" w:cs="仿宋"/>
          <w:color w:val="000000"/>
          <w:kern w:val="0"/>
          <w:sz w:val="32"/>
          <w:szCs w:val="32"/>
          <w:lang w:val="en-US" w:eastAsia="zh-CN" w:bidi="ar-SA"/>
        </w:rPr>
        <w:t xml:space="preserve">                             2020年9月3日</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Style w:val="26"/>
          <w:rFonts w:ascii="黑体" w:hAnsi="黑体" w:eastAsia="黑体"/>
          <w:b w:val="0"/>
        </w:rPr>
      </w:pPr>
      <w:r>
        <w:rPr>
          <w:rStyle w:val="26"/>
          <w:rFonts w:ascii="黑体" w:hAnsi="黑体" w:eastAsia="黑体"/>
          <w:b w:val="0"/>
        </w:rPr>
        <w:br w:type="page"/>
      </w:r>
    </w:p>
    <w:p>
      <w:pPr>
        <w:spacing w:line="600" w:lineRule="exact"/>
        <w:jc w:val="center"/>
        <w:outlineLvl w:val="9"/>
        <w:rPr>
          <w:rStyle w:val="26"/>
          <w:rFonts w:ascii="黑体" w:hAnsi="黑体" w:eastAsia="黑体"/>
          <w:b w:val="0"/>
        </w:rPr>
      </w:pPr>
    </w:p>
    <w:p>
      <w:pPr>
        <w:spacing w:line="600" w:lineRule="exact"/>
        <w:jc w:val="center"/>
        <w:outlineLvl w:val="0"/>
        <w:rPr>
          <w:rStyle w:val="26"/>
          <w:rFonts w:ascii="黑体" w:hAnsi="黑体" w:eastAsia="黑体"/>
          <w:b w:val="0"/>
        </w:rPr>
      </w:pPr>
      <w:bookmarkStart w:id="70" w:name="_Toc15396618"/>
      <w:bookmarkStart w:id="71" w:name="_Toc10089"/>
      <w:r>
        <w:rPr>
          <w:rFonts w:hint="eastAsia" w:ascii="黑体" w:hAnsi="黑体" w:eastAsia="黑体"/>
          <w:color w:val="000000"/>
          <w:sz w:val="44"/>
          <w:szCs w:val="44"/>
        </w:rPr>
        <w:t>第</w:t>
      </w:r>
      <w:r>
        <w:rPr>
          <w:rStyle w:val="26"/>
          <w:rFonts w:hint="eastAsia" w:ascii="黑体" w:hAnsi="黑体" w:eastAsia="黑体"/>
          <w:b w:val="0"/>
        </w:rPr>
        <w:t>五部分 附表</w:t>
      </w:r>
      <w:bookmarkEnd w:id="66"/>
      <w:bookmarkEnd w:id="70"/>
      <w:bookmarkEnd w:id="71"/>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72"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72"/>
    </w:p>
    <w:p>
      <w:pPr>
        <w:pStyle w:val="3"/>
        <w:rPr>
          <w:rFonts w:ascii="仿宋" w:hAnsi="仿宋" w:eastAsia="仿宋"/>
          <w:color w:val="000000"/>
        </w:rPr>
      </w:pPr>
      <w:bookmarkStart w:id="73" w:name="_Toc15396620"/>
      <w:r>
        <w:rPr>
          <w:rFonts w:hint="eastAsia" w:ascii="仿宋" w:hAnsi="仿宋" w:eastAsia="仿宋"/>
          <w:b w:val="0"/>
          <w:color w:val="000000"/>
        </w:rPr>
        <w:t>二、收</w:t>
      </w:r>
      <w:r>
        <w:rPr>
          <w:rStyle w:val="27"/>
          <w:rFonts w:hint="eastAsia" w:ascii="仿宋" w:hAnsi="仿宋" w:eastAsia="仿宋"/>
          <w:b w:val="0"/>
          <w:bCs w:val="0"/>
        </w:rPr>
        <w:t>入决算表</w:t>
      </w:r>
      <w:bookmarkEnd w:id="73"/>
    </w:p>
    <w:p>
      <w:pPr>
        <w:pStyle w:val="3"/>
        <w:rPr>
          <w:rFonts w:ascii="仿宋" w:hAnsi="仿宋" w:eastAsia="仿宋"/>
          <w:color w:val="000000"/>
        </w:rPr>
      </w:pPr>
      <w:bookmarkStart w:id="74"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出决算表</w:t>
      </w:r>
      <w:bookmarkEnd w:id="74"/>
    </w:p>
    <w:p>
      <w:pPr>
        <w:pStyle w:val="3"/>
        <w:rPr>
          <w:rFonts w:ascii="仿宋" w:hAnsi="仿宋" w:eastAsia="仿宋"/>
          <w:b w:val="0"/>
          <w:color w:val="000000"/>
        </w:rPr>
      </w:pPr>
      <w:bookmarkStart w:id="75"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75"/>
    </w:p>
    <w:p>
      <w:pPr>
        <w:pStyle w:val="3"/>
        <w:rPr>
          <w:rStyle w:val="27"/>
          <w:rFonts w:ascii="仿宋" w:hAnsi="仿宋" w:eastAsia="仿宋"/>
          <w:b w:val="0"/>
          <w:bCs w:val="0"/>
        </w:rPr>
      </w:pPr>
      <w:bookmarkStart w:id="76"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w:t>
      </w:r>
      <w:bookmarkEnd w:id="76"/>
      <w:bookmarkStart w:id="77" w:name="_Toc15396624"/>
    </w:p>
    <w:p>
      <w:pPr>
        <w:pStyle w:val="3"/>
        <w:rPr>
          <w:rFonts w:ascii="仿宋" w:hAnsi="仿宋" w:eastAsia="仿宋"/>
          <w:color w:val="000000"/>
        </w:rPr>
      </w:pPr>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77"/>
    </w:p>
    <w:p>
      <w:pPr>
        <w:pStyle w:val="3"/>
        <w:rPr>
          <w:rFonts w:ascii="仿宋" w:hAnsi="仿宋" w:eastAsia="仿宋"/>
          <w:color w:val="000000"/>
        </w:rPr>
      </w:pPr>
      <w:bookmarkStart w:id="78"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78"/>
    </w:p>
    <w:p>
      <w:pPr>
        <w:pStyle w:val="3"/>
        <w:rPr>
          <w:rFonts w:ascii="仿宋" w:hAnsi="仿宋" w:eastAsia="仿宋"/>
          <w:color w:val="000000"/>
        </w:rPr>
      </w:pPr>
      <w:bookmarkStart w:id="79"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79"/>
    </w:p>
    <w:p>
      <w:pPr>
        <w:pStyle w:val="3"/>
        <w:rPr>
          <w:rFonts w:ascii="仿宋" w:hAnsi="仿宋" w:eastAsia="仿宋"/>
          <w:color w:val="000000"/>
        </w:rPr>
      </w:pPr>
      <w:bookmarkStart w:id="80"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80"/>
    </w:p>
    <w:p>
      <w:pPr>
        <w:pStyle w:val="3"/>
        <w:rPr>
          <w:rFonts w:ascii="仿宋" w:hAnsi="仿宋" w:eastAsia="仿宋"/>
          <w:color w:val="000000"/>
        </w:rPr>
      </w:pPr>
      <w:bookmarkStart w:id="81"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81"/>
    </w:p>
    <w:p>
      <w:pPr>
        <w:pStyle w:val="3"/>
        <w:rPr>
          <w:rFonts w:ascii="仿宋" w:hAnsi="仿宋" w:eastAsia="仿宋"/>
          <w:color w:val="000000"/>
        </w:rPr>
      </w:pPr>
      <w:bookmarkStart w:id="82"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82"/>
    </w:p>
    <w:p>
      <w:pPr>
        <w:pStyle w:val="3"/>
        <w:rPr>
          <w:rFonts w:ascii="仿宋" w:hAnsi="仿宋" w:eastAsia="仿宋"/>
          <w:color w:val="000000"/>
        </w:rPr>
      </w:pPr>
      <w:bookmarkStart w:id="83"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83"/>
    </w:p>
    <w:p>
      <w:pPr>
        <w:pStyle w:val="3"/>
        <w:rPr>
          <w:rFonts w:ascii="仿宋" w:hAnsi="仿宋" w:eastAsia="仿宋"/>
          <w:color w:val="000000" w:themeColor="text1"/>
          <w14:textFill>
            <w14:solidFill>
              <w14:schemeClr w14:val="tx1"/>
            </w14:solidFill>
          </w14:textFill>
        </w:rPr>
      </w:pPr>
      <w:bookmarkStart w:id="84"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8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B2F436"/>
    <w:multiLevelType w:val="singleLevel"/>
    <w:tmpl w:val="B2B2F436"/>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0BC1"/>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5E00"/>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53D4"/>
    <w:rsid w:val="00BF5BD6"/>
    <w:rsid w:val="00C03E31"/>
    <w:rsid w:val="00C33E72"/>
    <w:rsid w:val="00C354B2"/>
    <w:rsid w:val="00C35554"/>
    <w:rsid w:val="00C42709"/>
    <w:rsid w:val="00C533CC"/>
    <w:rsid w:val="00C55410"/>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6AC6"/>
    <w:rsid w:val="00D7035F"/>
    <w:rsid w:val="00DA634F"/>
    <w:rsid w:val="00DA65AC"/>
    <w:rsid w:val="00DB1913"/>
    <w:rsid w:val="00DC410D"/>
    <w:rsid w:val="00DC5A81"/>
    <w:rsid w:val="00DC68CA"/>
    <w:rsid w:val="00DC7CBA"/>
    <w:rsid w:val="00DD73B7"/>
    <w:rsid w:val="00DF28BC"/>
    <w:rsid w:val="00DF34B9"/>
    <w:rsid w:val="00E01053"/>
    <w:rsid w:val="00E07ACF"/>
    <w:rsid w:val="00E222DE"/>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E805FBB"/>
    <w:rsid w:val="10C055FF"/>
    <w:rsid w:val="13B437BB"/>
    <w:rsid w:val="16BB723D"/>
    <w:rsid w:val="1F632C6F"/>
    <w:rsid w:val="240371BF"/>
    <w:rsid w:val="253B5500"/>
    <w:rsid w:val="29FD04D3"/>
    <w:rsid w:val="312C51E8"/>
    <w:rsid w:val="319F7F4E"/>
    <w:rsid w:val="328F24EB"/>
    <w:rsid w:val="34D4462F"/>
    <w:rsid w:val="35CA584F"/>
    <w:rsid w:val="3ACA4CC4"/>
    <w:rsid w:val="3CCC57A7"/>
    <w:rsid w:val="47AE49A5"/>
    <w:rsid w:val="4A007CD3"/>
    <w:rsid w:val="4C4E7CC9"/>
    <w:rsid w:val="4DDD4309"/>
    <w:rsid w:val="4ECE2238"/>
    <w:rsid w:val="56AD3E28"/>
    <w:rsid w:val="5D752DC7"/>
    <w:rsid w:val="65955F55"/>
    <w:rsid w:val="72734D90"/>
    <w:rsid w:val="76B217E3"/>
    <w:rsid w:val="7F3D1F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5"/>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2"/>
    <w:qFormat/>
    <w:uiPriority w:val="9"/>
    <w:rPr>
      <w:rFonts w:ascii="Times New Roman" w:hAnsi="Times New Roman"/>
      <w:b/>
      <w:bCs/>
      <w:kern w:val="44"/>
      <w:sz w:val="44"/>
      <w:szCs w:val="44"/>
    </w:rPr>
  </w:style>
  <w:style w:type="character" w:customStyle="1" w:styleId="27">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8">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7"/>
    <w:semiHidden/>
    <w:qFormat/>
    <w:uiPriority w:val="99"/>
    <w:rPr>
      <w:rFonts w:ascii="Times New Roman" w:hAnsi="Times New Roman"/>
      <w:kern w:val="2"/>
      <w:sz w:val="18"/>
      <w:szCs w:val="18"/>
    </w:rPr>
  </w:style>
  <w:style w:type="character" w:customStyle="1" w:styleId="30">
    <w:name w:val="标题 3 Char"/>
    <w:basedOn w:val="15"/>
    <w:link w:val="4"/>
    <w:qFormat/>
    <w:uiPriority w:val="9"/>
    <w:rPr>
      <w:rFonts w:ascii="Times New Roman" w:hAnsi="Times New Roman"/>
      <w:b/>
      <w:bCs/>
      <w:kern w:val="2"/>
      <w:sz w:val="32"/>
      <w:szCs w:val="32"/>
    </w:rPr>
  </w:style>
  <w:style w:type="paragraph" w:customStyle="1" w:styleId="3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A0B3E5-6E7C-4CFD-8CEC-CCC3D63A50E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1295</Words>
  <Characters>7384</Characters>
  <Lines>61</Lines>
  <Paragraphs>17</Paragraphs>
  <TotalTime>4</TotalTime>
  <ScaleCrop>false</ScaleCrop>
  <LinksUpToDate>false</LinksUpToDate>
  <CharactersWithSpaces>8662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genie</cp:lastModifiedBy>
  <cp:lastPrinted>2020-08-28T08:38:00Z</cp:lastPrinted>
  <dcterms:modified xsi:type="dcterms:W3CDTF">2020-09-04T08:12:53Z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