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drawings/drawing3.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default" w:ascii="方正小标宋简体" w:hAnsi="宋体" w:eastAsia="方正小标宋简体"/>
          <w:b/>
          <w:bCs/>
          <w:color w:val="auto"/>
          <w:sz w:val="30"/>
          <w:szCs w:val="30"/>
          <w:highlight w:val="none"/>
          <w:lang w:val="en-US" w:eastAsia="zh-CN"/>
        </w:rPr>
      </w:pPr>
      <w:bookmarkStart w:id="0" w:name="_Toc15306267"/>
    </w:p>
    <w:p>
      <w:pPr>
        <w:spacing w:line="600" w:lineRule="exact"/>
        <w:jc w:val="center"/>
        <w:outlineLvl w:val="0"/>
        <w:rPr>
          <w:rFonts w:ascii="方正小标宋简体" w:hAnsi="宋体" w:eastAsia="方正小标宋简体"/>
          <w:b/>
          <w:bCs/>
          <w:color w:val="auto"/>
          <w:sz w:val="72"/>
          <w:szCs w:val="72"/>
          <w:highlight w:val="none"/>
        </w:rPr>
      </w:pPr>
    </w:p>
    <w:p>
      <w:pPr>
        <w:spacing w:line="600" w:lineRule="exact"/>
        <w:jc w:val="center"/>
        <w:outlineLvl w:val="0"/>
        <w:rPr>
          <w:rFonts w:ascii="方正小标宋简体" w:hAnsi="宋体" w:eastAsia="方正小标宋简体"/>
          <w:b/>
          <w:bCs/>
          <w:color w:val="auto"/>
          <w:sz w:val="72"/>
          <w:szCs w:val="72"/>
          <w:highlight w:val="none"/>
        </w:rPr>
      </w:pPr>
    </w:p>
    <w:p>
      <w:pPr>
        <w:spacing w:line="600" w:lineRule="exact"/>
        <w:jc w:val="center"/>
        <w:outlineLvl w:val="0"/>
        <w:rPr>
          <w:rFonts w:ascii="方正小标宋简体" w:hAnsi="宋体" w:eastAsia="方正小标宋简体"/>
          <w:b/>
          <w:bCs/>
          <w:color w:val="auto"/>
          <w:sz w:val="72"/>
          <w:szCs w:val="72"/>
          <w:highlight w:val="none"/>
        </w:rPr>
      </w:pPr>
    </w:p>
    <w:p>
      <w:pPr>
        <w:adjustRightInd w:val="0"/>
        <w:snapToGrid w:val="0"/>
        <w:spacing w:line="360" w:lineRule="auto"/>
        <w:jc w:val="center"/>
        <w:outlineLvl w:val="0"/>
        <w:rPr>
          <w:rFonts w:ascii="方正小标宋简体" w:hAnsi="宋体" w:eastAsia="方正小标宋简体"/>
          <w:b/>
          <w:bCs/>
          <w:color w:val="auto"/>
          <w:sz w:val="72"/>
          <w:szCs w:val="72"/>
          <w:highlight w:val="none"/>
        </w:rPr>
      </w:pPr>
      <w:bookmarkStart w:id="1" w:name="_Toc15396475"/>
      <w:bookmarkStart w:id="2" w:name="_Toc15377193"/>
      <w:bookmarkStart w:id="3" w:name="_Toc15377425"/>
      <w:bookmarkStart w:id="4" w:name="_Toc15378441"/>
      <w:bookmarkStart w:id="5" w:name="_Toc15396597"/>
      <w:r>
        <w:rPr>
          <w:rFonts w:ascii="黑体" w:hAnsi="黑体" w:eastAsia="黑体"/>
          <w:b/>
          <w:bCs/>
          <w:color w:val="auto"/>
          <w:sz w:val="72"/>
          <w:szCs w:val="72"/>
          <w:highlight w:val="none"/>
        </w:rPr>
        <w:t>20</w:t>
      </w:r>
      <w:r>
        <w:rPr>
          <w:rFonts w:hint="eastAsia" w:ascii="黑体" w:hAnsi="黑体" w:eastAsia="黑体"/>
          <w:b/>
          <w:bCs/>
          <w:color w:val="auto"/>
          <w:sz w:val="72"/>
          <w:szCs w:val="72"/>
          <w:highlight w:val="none"/>
          <w:lang w:val="en-US" w:eastAsia="zh-CN"/>
        </w:rPr>
        <w:t>20</w:t>
      </w:r>
      <w:r>
        <w:rPr>
          <w:rFonts w:hint="eastAsia" w:ascii="方正小标宋简体" w:hAnsi="宋体" w:eastAsia="方正小标宋简体"/>
          <w:b/>
          <w:bCs/>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b/>
          <w:bCs/>
          <w:color w:val="auto"/>
          <w:sz w:val="72"/>
          <w:szCs w:val="72"/>
          <w:highlight w:val="none"/>
          <w:lang w:eastAsia="zh-CN"/>
        </w:rPr>
      </w:pPr>
      <w:bookmarkStart w:id="6" w:name="_Toc15377426"/>
      <w:bookmarkStart w:id="7" w:name="_Toc15396598"/>
      <w:bookmarkStart w:id="8" w:name="_Toc15378442"/>
      <w:bookmarkStart w:id="9" w:name="_Toc15377194"/>
      <w:bookmarkStart w:id="10" w:name="_Toc15396476"/>
      <w:r>
        <w:rPr>
          <w:rFonts w:hint="eastAsia" w:ascii="方正小标宋简体" w:hAnsi="宋体" w:eastAsia="方正小标宋简体"/>
          <w:b/>
          <w:bCs/>
          <w:color w:val="auto"/>
          <w:sz w:val="72"/>
          <w:szCs w:val="72"/>
          <w:highlight w:val="none"/>
        </w:rPr>
        <w:t>四川省</w:t>
      </w:r>
      <w:bookmarkEnd w:id="0"/>
      <w:bookmarkStart w:id="11" w:name="_Toc15306268"/>
      <w:r>
        <w:rPr>
          <w:rFonts w:hint="eastAsia" w:ascii="方正小标宋简体" w:hAnsi="宋体" w:eastAsia="方正小标宋简体"/>
          <w:b/>
          <w:bCs/>
          <w:color w:val="auto"/>
          <w:sz w:val="72"/>
          <w:szCs w:val="72"/>
          <w:highlight w:val="none"/>
          <w:lang w:eastAsia="zh-CN"/>
        </w:rPr>
        <w:t>人大常委会办公厅</w:t>
      </w:r>
    </w:p>
    <w:p>
      <w:pPr>
        <w:adjustRightInd w:val="0"/>
        <w:snapToGrid w:val="0"/>
        <w:spacing w:line="360" w:lineRule="auto"/>
        <w:jc w:val="center"/>
        <w:outlineLvl w:val="0"/>
        <w:rPr>
          <w:rFonts w:ascii="方正小标宋简体" w:hAnsi="宋体" w:eastAsia="方正小标宋简体"/>
          <w:b/>
          <w:bCs/>
          <w:color w:val="auto"/>
          <w:sz w:val="72"/>
          <w:szCs w:val="72"/>
          <w:highlight w:val="none"/>
        </w:rPr>
      </w:pPr>
      <w:r>
        <w:rPr>
          <w:rFonts w:hint="eastAsia" w:ascii="方正小标宋简体" w:hAnsi="宋体" w:eastAsia="方正小标宋简体"/>
          <w:b/>
          <w:bCs/>
          <w:color w:val="auto"/>
          <w:sz w:val="72"/>
          <w:szCs w:val="72"/>
          <w:highlight w:val="none"/>
        </w:rPr>
        <w:t>部门决算</w:t>
      </w:r>
      <w:bookmarkEnd w:id="6"/>
      <w:bookmarkEnd w:id="7"/>
      <w:bookmarkEnd w:id="8"/>
      <w:bookmarkEnd w:id="9"/>
      <w:bookmarkEnd w:id="10"/>
      <w:bookmarkEnd w:id="11"/>
    </w:p>
    <w:p>
      <w:pPr>
        <w:widowControl/>
        <w:jc w:val="center"/>
        <w:rPr>
          <w:rFonts w:hint="eastAsia" w:ascii="黑体" w:hAnsi="黑体" w:eastAsia="黑体"/>
          <w:b/>
          <w:bCs/>
          <w:color w:val="auto"/>
          <w:sz w:val="48"/>
          <w:szCs w:val="48"/>
          <w:highlight w:val="none"/>
        </w:rPr>
        <w:sectPr>
          <w:pgSz w:w="11906" w:h="16838"/>
          <w:pgMar w:top="1440" w:right="1803" w:bottom="1440" w:left="1803" w:header="851" w:footer="992" w:gutter="0"/>
          <w:pgNumType w:fmt="numberInDash" w:start="1"/>
          <w:cols w:space="425" w:num="1"/>
          <w:docGrid w:type="lines" w:linePitch="312" w:charSpace="0"/>
        </w:sectPr>
      </w:pPr>
    </w:p>
    <w:p>
      <w:pPr>
        <w:widowControl/>
        <w:jc w:val="center"/>
        <w:rPr>
          <w:rFonts w:ascii="黑体" w:hAnsi="黑体" w:eastAsia="黑体"/>
          <w:b/>
          <w:bCs/>
          <w:color w:val="auto"/>
          <w:sz w:val="48"/>
          <w:szCs w:val="48"/>
          <w:highlight w:val="none"/>
        </w:rPr>
      </w:pPr>
      <w:r>
        <w:rPr>
          <w:rFonts w:hint="eastAsia" w:ascii="黑体" w:hAnsi="黑体" w:eastAsia="黑体"/>
          <w:b/>
          <w:bCs/>
          <w:color w:val="auto"/>
          <w:sz w:val="48"/>
          <w:szCs w:val="48"/>
          <w:highlight w:val="none"/>
        </w:rPr>
        <w:t>目录</w:t>
      </w:r>
    </w:p>
    <w:p>
      <w:pPr>
        <w:widowControl/>
        <w:jc w:val="center"/>
        <w:rPr>
          <w:rFonts w:ascii="黑体" w:hAnsi="黑体" w:eastAsia="黑体" w:cstheme="minorBidi"/>
          <w:b/>
          <w:bCs/>
          <w:color w:val="auto"/>
          <w:sz w:val="28"/>
          <w:szCs w:val="28"/>
          <w:highlight w:val="none"/>
        </w:rPr>
      </w:pPr>
    </w:p>
    <w:p>
      <w:pPr>
        <w:pStyle w:val="10"/>
        <w:rPr>
          <w:b/>
          <w:bCs/>
          <w:color w:val="auto"/>
          <w:highlight w:val="none"/>
        </w:rPr>
      </w:pPr>
      <w:r>
        <w:rPr>
          <w:rFonts w:hint="eastAsia"/>
          <w:b/>
          <w:bCs/>
          <w:color w:val="auto"/>
          <w:highlight w:val="none"/>
        </w:rPr>
        <w:t>公开时间：20</w:t>
      </w:r>
      <w:r>
        <w:rPr>
          <w:rFonts w:hint="eastAsia"/>
          <w:b/>
          <w:bCs/>
          <w:color w:val="auto"/>
          <w:highlight w:val="none"/>
          <w:lang w:val="en-US" w:eastAsia="zh-CN"/>
        </w:rPr>
        <w:t>21</w:t>
      </w:r>
      <w:r>
        <w:rPr>
          <w:rFonts w:hint="eastAsia"/>
          <w:b/>
          <w:bCs/>
          <w:color w:val="auto"/>
          <w:highlight w:val="none"/>
        </w:rPr>
        <w:t>年</w:t>
      </w:r>
      <w:r>
        <w:rPr>
          <w:rFonts w:hint="eastAsia"/>
          <w:b/>
          <w:bCs/>
          <w:color w:val="auto"/>
          <w:highlight w:val="none"/>
          <w:lang w:val="en-US" w:eastAsia="zh-CN"/>
        </w:rPr>
        <w:t>8</w:t>
      </w:r>
      <w:r>
        <w:rPr>
          <w:rFonts w:hint="eastAsia"/>
          <w:b/>
          <w:bCs/>
          <w:color w:val="auto"/>
          <w:highlight w:val="none"/>
        </w:rPr>
        <w:t>月</w:t>
      </w:r>
      <w:r>
        <w:rPr>
          <w:rFonts w:hint="eastAsia"/>
          <w:b/>
          <w:bCs/>
          <w:color w:val="auto"/>
          <w:highlight w:val="none"/>
          <w:lang w:val="en-US" w:eastAsia="zh-CN"/>
        </w:rPr>
        <w:t>30</w:t>
      </w:r>
      <w:r>
        <w:rPr>
          <w:rFonts w:hint="eastAsia"/>
          <w:b/>
          <w:bCs/>
          <w:color w:val="auto"/>
          <w:highlight w:val="none"/>
        </w:rPr>
        <w:t>日</w:t>
      </w:r>
    </w:p>
    <w:p>
      <w:pPr>
        <w:rPr>
          <w:b/>
          <w:bCs/>
          <w:color w:val="auto"/>
          <w:highlight w:val="none"/>
        </w:rPr>
      </w:pPr>
    </w:p>
    <w:p>
      <w:pPr>
        <w:pStyle w:val="10"/>
        <w:adjustRightInd w:val="0"/>
        <w:snapToGrid w:val="0"/>
        <w:spacing w:before="0" w:line="440" w:lineRule="exact"/>
        <w:jc w:val="left"/>
        <w:rPr>
          <w:rFonts w:cstheme="minorBidi"/>
          <w:b/>
          <w:bCs/>
          <w:color w:val="auto"/>
          <w:sz w:val="24"/>
          <w:szCs w:val="24"/>
          <w:highlight w:val="none"/>
        </w:rPr>
      </w:pPr>
      <w:r>
        <w:rPr>
          <w:rFonts w:hint="eastAsia"/>
          <w:b/>
          <w:bCs/>
          <w:color w:val="auto"/>
          <w:sz w:val="24"/>
          <w:highlight w:val="none"/>
        </w:rPr>
        <w:t>第一部分</w:t>
      </w:r>
      <w:r>
        <w:rPr>
          <w:b/>
          <w:bCs/>
          <w:color w:val="auto"/>
          <w:sz w:val="24"/>
          <w:highlight w:val="none"/>
        </w:rPr>
        <w:t xml:space="preserve"> </w:t>
      </w:r>
      <w:r>
        <w:rPr>
          <w:rFonts w:hint="eastAsia"/>
          <w:b/>
          <w:bCs/>
          <w:color w:val="auto"/>
          <w:sz w:val="24"/>
          <w:highlight w:val="none"/>
        </w:rPr>
        <w:t>部门概况</w:t>
      </w:r>
    </w:p>
    <w:p>
      <w:pPr>
        <w:pStyle w:val="11"/>
        <w:adjustRightInd w:val="0"/>
        <w:snapToGrid w:val="0"/>
        <w:spacing w:line="440" w:lineRule="exact"/>
        <w:jc w:val="left"/>
        <w:rPr>
          <w:rFonts w:hint="eastAsia" w:ascii="仿宋" w:hAnsi="仿宋" w:eastAsiaTheme="minorEastAsia"/>
          <w:b/>
          <w:bCs/>
          <w:color w:val="auto"/>
          <w:sz w:val="24"/>
          <w:highlight w:val="none"/>
          <w:lang w:val="en-US" w:eastAsia="zh-CN"/>
        </w:rPr>
      </w:pPr>
      <w:r>
        <w:rPr>
          <w:rFonts w:hint="eastAsia"/>
          <w:b/>
          <w:bCs/>
          <w:color w:val="auto"/>
          <w:sz w:val="24"/>
          <w:highlight w:val="none"/>
        </w:rPr>
        <w:t>一、基本职能及主要工作</w:t>
      </w:r>
      <w:r>
        <w:rPr>
          <w:rFonts w:hint="eastAsia" w:asciiTheme="minorEastAsia" w:hAnsiTheme="minorEastAsia" w:eastAsiaTheme="minorEastAsia" w:cstheme="minorEastAsia"/>
          <w:b/>
          <w:bCs/>
          <w:color w:val="auto"/>
          <w:sz w:val="24"/>
        </w:rPr>
        <w:tab/>
      </w:r>
      <w:r>
        <w:rPr>
          <w:rFonts w:hint="eastAsia" w:asciiTheme="minorEastAsia" w:hAnsiTheme="minorEastAsia" w:eastAsiaTheme="minorEastAsia" w:cstheme="minorEastAsia"/>
          <w:b/>
          <w:bCs/>
          <w:color w:val="auto"/>
          <w:sz w:val="24"/>
          <w:lang w:val="en-US" w:eastAsia="zh-CN"/>
        </w:rPr>
        <w:t>1</w:t>
      </w:r>
    </w:p>
    <w:p>
      <w:pPr>
        <w:pStyle w:val="11"/>
        <w:adjustRightInd w:val="0"/>
        <w:snapToGrid w:val="0"/>
        <w:spacing w:line="440" w:lineRule="exact"/>
        <w:jc w:val="left"/>
        <w:rPr>
          <w:rFonts w:hint="eastAsia" w:ascii="仿宋" w:hAnsi="仿宋" w:eastAsiaTheme="minorEastAsia" w:cstheme="minorBidi"/>
          <w:b/>
          <w:bCs/>
          <w:color w:val="auto"/>
          <w:sz w:val="24"/>
          <w:highlight w:val="none"/>
          <w:lang w:val="en-US" w:eastAsia="zh-CN"/>
        </w:rPr>
      </w:pPr>
      <w:r>
        <w:rPr>
          <w:rFonts w:hint="eastAsia"/>
          <w:b/>
          <w:bCs/>
          <w:color w:val="auto"/>
          <w:sz w:val="24"/>
          <w:highlight w:val="none"/>
        </w:rPr>
        <w:t>二、机构设置</w:t>
      </w:r>
      <w:r>
        <w:rPr>
          <w:rFonts w:hint="eastAsia" w:asciiTheme="minorEastAsia" w:hAnsiTheme="minorEastAsia" w:eastAsiaTheme="minorEastAsia" w:cstheme="minorEastAsia"/>
          <w:b/>
          <w:bCs/>
          <w:color w:val="auto"/>
          <w:sz w:val="24"/>
        </w:rPr>
        <w:tab/>
      </w:r>
      <w:r>
        <w:rPr>
          <w:rFonts w:hint="eastAsia" w:asciiTheme="minorEastAsia" w:hAnsiTheme="minorEastAsia" w:eastAsiaTheme="minorEastAsia" w:cstheme="minorEastAsia"/>
          <w:b/>
          <w:bCs/>
          <w:color w:val="auto"/>
          <w:sz w:val="24"/>
          <w:lang w:val="en-US" w:eastAsia="zh-CN"/>
        </w:rPr>
        <w:t>2</w:t>
      </w:r>
    </w:p>
    <w:p>
      <w:pPr>
        <w:pStyle w:val="10"/>
        <w:adjustRightInd w:val="0"/>
        <w:snapToGrid w:val="0"/>
        <w:spacing w:before="0" w:line="440" w:lineRule="exact"/>
        <w:jc w:val="left"/>
        <w:rPr>
          <w:b/>
          <w:bCs/>
          <w:color w:val="auto"/>
          <w:sz w:val="24"/>
          <w:szCs w:val="24"/>
          <w:highlight w:val="none"/>
        </w:rPr>
      </w:pPr>
      <w:r>
        <w:rPr>
          <w:rFonts w:hint="eastAsia"/>
          <w:b/>
          <w:bCs/>
          <w:color w:val="auto"/>
          <w:sz w:val="24"/>
          <w:highlight w:val="none"/>
        </w:rPr>
        <w:t>第二部分</w:t>
      </w:r>
      <w:r>
        <w:rPr>
          <w:rFonts w:hint="eastAsia"/>
          <w:b/>
          <w:bCs/>
          <w:color w:val="auto"/>
          <w:sz w:val="24"/>
          <w:highlight w:val="none"/>
          <w:lang w:val="en-US" w:eastAsia="zh-CN"/>
        </w:rPr>
        <w:t xml:space="preserve"> 2020年度</w:t>
      </w:r>
      <w:r>
        <w:rPr>
          <w:rFonts w:hint="eastAsia"/>
          <w:b/>
          <w:bCs/>
          <w:color w:val="auto"/>
          <w:sz w:val="24"/>
          <w:highlight w:val="none"/>
        </w:rPr>
        <w:t>部门决算情况说明</w:t>
      </w:r>
    </w:p>
    <w:p>
      <w:pPr>
        <w:pStyle w:val="11"/>
        <w:adjustRightInd w:val="0"/>
        <w:snapToGrid w:val="0"/>
        <w:spacing w:line="440" w:lineRule="exact"/>
        <w:jc w:val="left"/>
        <w:rPr>
          <w:rFonts w:hint="eastAsia" w:ascii="仿宋" w:hAnsi="仿宋" w:eastAsiaTheme="minorEastAsia" w:cstheme="minorBidi"/>
          <w:b/>
          <w:bCs/>
          <w:color w:val="auto"/>
          <w:sz w:val="24"/>
          <w:highlight w:val="none"/>
          <w:lang w:val="en-US" w:eastAsia="zh-CN"/>
        </w:rPr>
      </w:pPr>
      <w:r>
        <w:rPr>
          <w:rFonts w:hint="eastAsia"/>
          <w:b/>
          <w:bCs/>
          <w:color w:val="auto"/>
          <w:sz w:val="24"/>
          <w:highlight w:val="none"/>
        </w:rPr>
        <w:t>一、收入支出决算总体情况说明</w:t>
      </w:r>
      <w:r>
        <w:rPr>
          <w:rFonts w:hint="eastAsia" w:asciiTheme="minorEastAsia" w:hAnsiTheme="minorEastAsia" w:eastAsiaTheme="minorEastAsia" w:cstheme="minorEastAsia"/>
          <w:b/>
          <w:bCs/>
          <w:color w:val="auto"/>
          <w:sz w:val="24"/>
        </w:rPr>
        <w:tab/>
      </w:r>
      <w:r>
        <w:rPr>
          <w:rFonts w:hint="eastAsia" w:asciiTheme="minorEastAsia" w:hAnsiTheme="minorEastAsia" w:eastAsiaTheme="minorEastAsia" w:cstheme="minorEastAsia"/>
          <w:b/>
          <w:bCs/>
          <w:color w:val="auto"/>
          <w:sz w:val="24"/>
          <w:lang w:val="en-US" w:eastAsia="zh-CN"/>
        </w:rPr>
        <w:t>3</w:t>
      </w:r>
    </w:p>
    <w:p>
      <w:pPr>
        <w:pStyle w:val="11"/>
        <w:adjustRightInd w:val="0"/>
        <w:snapToGrid w:val="0"/>
        <w:spacing w:line="440" w:lineRule="exact"/>
        <w:jc w:val="left"/>
        <w:rPr>
          <w:rFonts w:hint="eastAsia" w:ascii="仿宋" w:hAnsi="仿宋" w:eastAsiaTheme="minorEastAsia" w:cstheme="minorBidi"/>
          <w:b/>
          <w:bCs/>
          <w:color w:val="auto"/>
          <w:sz w:val="24"/>
          <w:highlight w:val="none"/>
          <w:lang w:val="en-US" w:eastAsia="zh-CN"/>
        </w:rPr>
      </w:pPr>
      <w:r>
        <w:rPr>
          <w:rFonts w:hint="eastAsia"/>
          <w:b/>
          <w:bCs/>
          <w:color w:val="auto"/>
          <w:sz w:val="24"/>
          <w:highlight w:val="none"/>
        </w:rPr>
        <w:t>二、收入决算情况说明</w:t>
      </w:r>
      <w:r>
        <w:rPr>
          <w:rFonts w:hint="eastAsia" w:asciiTheme="minorEastAsia" w:hAnsiTheme="minorEastAsia" w:eastAsiaTheme="minorEastAsia" w:cstheme="minorEastAsia"/>
          <w:b/>
          <w:bCs/>
          <w:color w:val="auto"/>
          <w:sz w:val="24"/>
        </w:rPr>
        <w:tab/>
      </w:r>
      <w:r>
        <w:rPr>
          <w:rFonts w:hint="eastAsia" w:asciiTheme="minorEastAsia" w:hAnsiTheme="minorEastAsia" w:eastAsiaTheme="minorEastAsia" w:cstheme="minorEastAsia"/>
          <w:b/>
          <w:bCs/>
          <w:color w:val="auto"/>
          <w:sz w:val="24"/>
          <w:lang w:val="en-US" w:eastAsia="zh-CN"/>
        </w:rPr>
        <w:t>3</w:t>
      </w:r>
    </w:p>
    <w:p>
      <w:pPr>
        <w:pStyle w:val="11"/>
        <w:adjustRightInd w:val="0"/>
        <w:snapToGrid w:val="0"/>
        <w:spacing w:line="440" w:lineRule="exact"/>
        <w:jc w:val="left"/>
        <w:rPr>
          <w:rFonts w:hint="eastAsia" w:ascii="仿宋" w:hAnsi="仿宋" w:eastAsiaTheme="minorEastAsia" w:cstheme="minorBidi"/>
          <w:b/>
          <w:bCs/>
          <w:color w:val="auto"/>
          <w:sz w:val="24"/>
          <w:highlight w:val="none"/>
          <w:lang w:val="en-US" w:eastAsia="zh-CN"/>
        </w:rPr>
      </w:pPr>
      <w:r>
        <w:rPr>
          <w:rFonts w:hint="eastAsia"/>
          <w:b/>
          <w:bCs/>
          <w:color w:val="auto"/>
          <w:sz w:val="24"/>
          <w:highlight w:val="none"/>
        </w:rPr>
        <w:t>三、支出决算情况说明</w:t>
      </w:r>
      <w:r>
        <w:rPr>
          <w:rFonts w:hint="eastAsia" w:asciiTheme="minorEastAsia" w:hAnsiTheme="minorEastAsia" w:eastAsiaTheme="minorEastAsia" w:cstheme="minorEastAsia"/>
          <w:b/>
          <w:bCs/>
          <w:color w:val="auto"/>
          <w:sz w:val="24"/>
        </w:rPr>
        <w:tab/>
      </w:r>
      <w:r>
        <w:rPr>
          <w:rFonts w:hint="eastAsia" w:asciiTheme="minorEastAsia" w:hAnsiTheme="minorEastAsia" w:eastAsiaTheme="minorEastAsia" w:cstheme="minorEastAsia"/>
          <w:b/>
          <w:bCs/>
          <w:color w:val="auto"/>
          <w:sz w:val="24"/>
          <w:lang w:val="en-US" w:eastAsia="zh-CN"/>
        </w:rPr>
        <w:t>4</w:t>
      </w:r>
    </w:p>
    <w:p>
      <w:pPr>
        <w:pStyle w:val="11"/>
        <w:adjustRightInd w:val="0"/>
        <w:snapToGrid w:val="0"/>
        <w:spacing w:line="440" w:lineRule="exact"/>
        <w:jc w:val="left"/>
        <w:rPr>
          <w:rFonts w:hint="eastAsia" w:ascii="仿宋" w:hAnsi="仿宋" w:eastAsiaTheme="minorEastAsia" w:cstheme="minorBidi"/>
          <w:b/>
          <w:bCs/>
          <w:color w:val="auto"/>
          <w:sz w:val="24"/>
          <w:highlight w:val="none"/>
          <w:lang w:val="en-US" w:eastAsia="zh-CN"/>
        </w:rPr>
      </w:pPr>
      <w:r>
        <w:rPr>
          <w:rFonts w:hint="eastAsia"/>
          <w:b/>
          <w:bCs/>
          <w:color w:val="auto"/>
          <w:sz w:val="24"/>
          <w:highlight w:val="none"/>
        </w:rPr>
        <w:t>四、财政拨款收入支出决算总体情况说明</w:t>
      </w:r>
      <w:r>
        <w:rPr>
          <w:rFonts w:hint="eastAsia" w:asciiTheme="minorEastAsia" w:hAnsiTheme="minorEastAsia" w:eastAsiaTheme="minorEastAsia" w:cstheme="minorEastAsia"/>
          <w:b/>
          <w:bCs/>
          <w:color w:val="auto"/>
          <w:sz w:val="24"/>
        </w:rPr>
        <w:tab/>
      </w:r>
      <w:r>
        <w:rPr>
          <w:rFonts w:hint="eastAsia" w:asciiTheme="minorEastAsia" w:hAnsiTheme="minorEastAsia" w:eastAsiaTheme="minorEastAsia" w:cstheme="minorEastAsia"/>
          <w:b/>
          <w:bCs/>
          <w:color w:val="auto"/>
          <w:sz w:val="24"/>
          <w:lang w:val="en-US" w:eastAsia="zh-CN"/>
        </w:rPr>
        <w:t>5</w:t>
      </w:r>
    </w:p>
    <w:p>
      <w:pPr>
        <w:pStyle w:val="11"/>
        <w:adjustRightInd w:val="0"/>
        <w:snapToGrid w:val="0"/>
        <w:spacing w:line="440" w:lineRule="exact"/>
        <w:jc w:val="left"/>
        <w:rPr>
          <w:rFonts w:hint="eastAsia" w:ascii="仿宋" w:hAnsi="仿宋" w:eastAsiaTheme="minorEastAsia" w:cstheme="minorBidi"/>
          <w:b/>
          <w:bCs/>
          <w:color w:val="auto"/>
          <w:sz w:val="24"/>
          <w:highlight w:val="none"/>
          <w:lang w:val="en-US" w:eastAsia="zh-CN"/>
        </w:rPr>
      </w:pPr>
      <w:r>
        <w:rPr>
          <w:rFonts w:hint="eastAsia"/>
          <w:b/>
          <w:bCs/>
          <w:color w:val="auto"/>
          <w:sz w:val="24"/>
          <w:highlight w:val="none"/>
        </w:rPr>
        <w:t>五、一般公共预算财政拨款支出决算情况说明</w:t>
      </w:r>
      <w:r>
        <w:rPr>
          <w:rFonts w:hint="eastAsia" w:asciiTheme="minorEastAsia" w:hAnsiTheme="minorEastAsia" w:eastAsiaTheme="minorEastAsia" w:cstheme="minorEastAsia"/>
          <w:b/>
          <w:bCs/>
          <w:color w:val="auto"/>
          <w:sz w:val="24"/>
        </w:rPr>
        <w:tab/>
      </w:r>
      <w:r>
        <w:rPr>
          <w:rFonts w:hint="eastAsia" w:asciiTheme="minorEastAsia" w:hAnsiTheme="minorEastAsia" w:eastAsiaTheme="minorEastAsia" w:cstheme="minorEastAsia"/>
          <w:b/>
          <w:bCs/>
          <w:color w:val="auto"/>
          <w:sz w:val="24"/>
          <w:lang w:val="en-US" w:eastAsia="zh-CN"/>
        </w:rPr>
        <w:t>5</w:t>
      </w:r>
    </w:p>
    <w:p>
      <w:pPr>
        <w:pStyle w:val="11"/>
        <w:adjustRightInd w:val="0"/>
        <w:snapToGrid w:val="0"/>
        <w:spacing w:line="440" w:lineRule="exact"/>
        <w:jc w:val="left"/>
        <w:rPr>
          <w:rFonts w:hint="default" w:ascii="仿宋" w:hAnsi="仿宋" w:eastAsiaTheme="minorEastAsia" w:cstheme="minorBidi"/>
          <w:b/>
          <w:bCs/>
          <w:color w:val="auto"/>
          <w:sz w:val="24"/>
          <w:highlight w:val="none"/>
          <w:lang w:val="en-US" w:eastAsia="zh-CN"/>
        </w:rPr>
      </w:pPr>
      <w:r>
        <w:rPr>
          <w:rFonts w:hint="eastAsia"/>
          <w:b/>
          <w:bCs/>
          <w:color w:val="auto"/>
          <w:sz w:val="24"/>
          <w:highlight w:val="none"/>
        </w:rPr>
        <w:t>六、一般公共预算财政拨款基本支出决算情况说明</w:t>
      </w:r>
      <w:r>
        <w:rPr>
          <w:rFonts w:hint="eastAsia" w:asciiTheme="minorEastAsia" w:hAnsiTheme="minorEastAsia" w:eastAsiaTheme="minorEastAsia" w:cstheme="minorEastAsia"/>
          <w:b/>
          <w:bCs/>
          <w:color w:val="auto"/>
          <w:sz w:val="24"/>
        </w:rPr>
        <w:tab/>
      </w:r>
      <w:r>
        <w:rPr>
          <w:rFonts w:hint="eastAsia" w:asciiTheme="minorEastAsia" w:hAnsiTheme="minorEastAsia" w:eastAsiaTheme="minorEastAsia" w:cstheme="minorEastAsia"/>
          <w:b/>
          <w:bCs/>
          <w:color w:val="auto"/>
          <w:sz w:val="24"/>
          <w:lang w:val="en-US" w:eastAsia="zh-CN"/>
        </w:rPr>
        <w:t>8</w:t>
      </w:r>
    </w:p>
    <w:p>
      <w:pPr>
        <w:pStyle w:val="11"/>
        <w:adjustRightInd w:val="0"/>
        <w:snapToGrid w:val="0"/>
        <w:spacing w:line="440" w:lineRule="exact"/>
        <w:jc w:val="left"/>
        <w:rPr>
          <w:rFonts w:hint="default" w:ascii="仿宋" w:hAnsi="仿宋" w:eastAsiaTheme="minorEastAsia" w:cstheme="minorBidi"/>
          <w:b/>
          <w:bCs/>
          <w:color w:val="auto"/>
          <w:sz w:val="24"/>
          <w:highlight w:val="none"/>
          <w:lang w:val="en-US" w:eastAsia="zh-CN"/>
        </w:rPr>
      </w:pPr>
      <w:r>
        <w:rPr>
          <w:rFonts w:hint="eastAsia"/>
          <w:b/>
          <w:bCs/>
          <w:color w:val="auto"/>
          <w:sz w:val="24"/>
          <w:highlight w:val="none"/>
        </w:rPr>
        <w:t>七、</w:t>
      </w:r>
      <w:r>
        <w:rPr>
          <w:rFonts w:hint="eastAsia"/>
          <w:b/>
          <w:bCs/>
          <w:color w:val="auto"/>
          <w:sz w:val="24"/>
          <w:highlight w:val="none"/>
          <w:lang w:eastAsia="zh-CN"/>
        </w:rPr>
        <w:t>“</w:t>
      </w:r>
      <w:r>
        <w:rPr>
          <w:rFonts w:hint="eastAsia"/>
          <w:b/>
          <w:bCs/>
          <w:color w:val="auto"/>
          <w:sz w:val="24"/>
          <w:highlight w:val="none"/>
        </w:rPr>
        <w:t>三公”经费财政拨款支出决算情况说明</w:t>
      </w:r>
      <w:r>
        <w:rPr>
          <w:rFonts w:hint="eastAsia" w:asciiTheme="minorEastAsia" w:hAnsiTheme="minorEastAsia" w:eastAsiaTheme="minorEastAsia" w:cstheme="minorEastAsia"/>
          <w:b/>
          <w:bCs/>
          <w:color w:val="auto"/>
          <w:sz w:val="24"/>
        </w:rPr>
        <w:tab/>
      </w:r>
      <w:r>
        <w:rPr>
          <w:rFonts w:hint="eastAsia" w:asciiTheme="minorEastAsia" w:hAnsiTheme="minorEastAsia" w:eastAsiaTheme="minorEastAsia" w:cstheme="minorEastAsia"/>
          <w:b/>
          <w:bCs/>
          <w:color w:val="auto"/>
          <w:sz w:val="24"/>
          <w:lang w:val="en-US" w:eastAsia="zh-CN"/>
        </w:rPr>
        <w:t>9</w:t>
      </w:r>
    </w:p>
    <w:p>
      <w:pPr>
        <w:pStyle w:val="11"/>
        <w:adjustRightInd w:val="0"/>
        <w:snapToGrid w:val="0"/>
        <w:spacing w:line="440" w:lineRule="exact"/>
        <w:jc w:val="left"/>
        <w:rPr>
          <w:rFonts w:hint="default" w:ascii="仿宋" w:hAnsi="仿宋" w:eastAsiaTheme="minorEastAsia" w:cstheme="minorBidi"/>
          <w:b/>
          <w:bCs/>
          <w:color w:val="auto"/>
          <w:sz w:val="24"/>
          <w:highlight w:val="none"/>
          <w:lang w:val="en-US" w:eastAsia="zh-CN"/>
        </w:rPr>
      </w:pPr>
      <w:r>
        <w:rPr>
          <w:rFonts w:hint="eastAsia"/>
          <w:b/>
          <w:bCs/>
          <w:color w:val="auto"/>
          <w:sz w:val="24"/>
          <w:highlight w:val="none"/>
        </w:rPr>
        <w:t>八、政府性基金预算支出决算情况说明</w:t>
      </w:r>
      <w:r>
        <w:rPr>
          <w:rFonts w:hint="eastAsia" w:asciiTheme="minorEastAsia" w:hAnsiTheme="minorEastAsia" w:eastAsiaTheme="minorEastAsia" w:cstheme="minorEastAsia"/>
          <w:b/>
          <w:bCs/>
          <w:color w:val="auto"/>
          <w:sz w:val="24"/>
        </w:rPr>
        <w:tab/>
      </w:r>
      <w:r>
        <w:rPr>
          <w:rFonts w:hint="eastAsia" w:asciiTheme="minorEastAsia" w:hAnsiTheme="minorEastAsia" w:eastAsiaTheme="minorEastAsia" w:cstheme="minorEastAsia"/>
          <w:b/>
          <w:bCs/>
          <w:color w:val="auto"/>
          <w:sz w:val="24"/>
          <w:lang w:val="en-US" w:eastAsia="zh-CN"/>
        </w:rPr>
        <w:t>11</w:t>
      </w:r>
    </w:p>
    <w:p>
      <w:pPr>
        <w:pStyle w:val="11"/>
        <w:adjustRightInd w:val="0"/>
        <w:snapToGrid w:val="0"/>
        <w:spacing w:line="440" w:lineRule="exact"/>
        <w:ind w:leftChars="0"/>
        <w:jc w:val="left"/>
        <w:rPr>
          <w:rFonts w:hint="eastAsia" w:asciiTheme="minorEastAsia" w:hAnsiTheme="minorEastAsia" w:eastAsiaTheme="minorEastAsia" w:cstheme="minorEastAsia"/>
          <w:b/>
          <w:bCs/>
          <w:color w:val="auto"/>
          <w:sz w:val="24"/>
          <w:lang w:val="en-US" w:eastAsia="zh-CN"/>
        </w:rPr>
      </w:pPr>
      <w:r>
        <w:rPr>
          <w:rFonts w:hint="eastAsia" w:asciiTheme="minorEastAsia" w:hAnsiTheme="minorEastAsia" w:eastAsiaTheme="minorEastAsia" w:cstheme="minorEastAsia"/>
          <w:b/>
          <w:bCs/>
          <w:color w:val="auto"/>
          <w:sz w:val="24"/>
          <w:highlight w:val="none"/>
        </w:rPr>
        <w:t>九、</w:t>
      </w:r>
      <w:r>
        <w:rPr>
          <w:rFonts w:hint="eastAsia" w:asciiTheme="minorEastAsia" w:hAnsiTheme="minorEastAsia" w:eastAsiaTheme="minorEastAsia" w:cstheme="minorEastAsia"/>
          <w:b/>
          <w:bCs/>
          <w:color w:val="auto"/>
          <w:sz w:val="24"/>
          <w:highlight w:val="none"/>
          <w:lang w:eastAsia="zh-CN"/>
        </w:rPr>
        <w:t>国</w:t>
      </w:r>
      <w:r>
        <w:rPr>
          <w:rFonts w:hint="eastAsia" w:asciiTheme="minorEastAsia" w:hAnsiTheme="minorEastAsia" w:eastAsiaTheme="minorEastAsia" w:cstheme="minorEastAsia"/>
          <w:b/>
          <w:bCs/>
          <w:color w:val="auto"/>
          <w:sz w:val="24"/>
          <w:highlight w:val="none"/>
        </w:rPr>
        <w:t>有资本经营预算支出决算情况说明</w:t>
      </w:r>
      <w:r>
        <w:rPr>
          <w:rFonts w:hint="eastAsia" w:asciiTheme="minorEastAsia" w:hAnsiTheme="minorEastAsia" w:eastAsiaTheme="minorEastAsia" w:cstheme="minorEastAsia"/>
          <w:b/>
          <w:bCs/>
          <w:color w:val="auto"/>
          <w:sz w:val="24"/>
        </w:rPr>
        <w:tab/>
      </w:r>
      <w:r>
        <w:rPr>
          <w:rFonts w:hint="eastAsia" w:asciiTheme="minorEastAsia" w:hAnsiTheme="minorEastAsia" w:eastAsiaTheme="minorEastAsia" w:cstheme="minorEastAsia"/>
          <w:b/>
          <w:bCs/>
          <w:color w:val="auto"/>
          <w:sz w:val="24"/>
          <w:lang w:val="en-US" w:eastAsia="zh-CN"/>
        </w:rPr>
        <w:t>11</w:t>
      </w:r>
    </w:p>
    <w:p>
      <w:pPr>
        <w:pStyle w:val="11"/>
        <w:adjustRightInd w:val="0"/>
        <w:snapToGrid w:val="0"/>
        <w:spacing w:line="440" w:lineRule="exact"/>
        <w:ind w:leftChars="0"/>
        <w:jc w:val="left"/>
        <w:rPr>
          <w:rFonts w:hint="default" w:asciiTheme="minorEastAsia" w:hAnsiTheme="minorEastAsia" w:eastAsiaTheme="minorEastAsia" w:cstheme="minorEastAsia"/>
          <w:b/>
          <w:bCs/>
          <w:color w:val="auto"/>
          <w:sz w:val="24"/>
          <w:highlight w:val="none"/>
          <w:lang w:val="en-US" w:eastAsia="zh-CN"/>
        </w:rPr>
      </w:pPr>
      <w:r>
        <w:rPr>
          <w:rFonts w:hint="eastAsia" w:asciiTheme="minorEastAsia" w:hAnsiTheme="minorEastAsia" w:eastAsiaTheme="minorEastAsia" w:cstheme="minorEastAsia"/>
          <w:b/>
          <w:bCs/>
          <w:color w:val="auto"/>
          <w:sz w:val="24"/>
          <w:highlight w:val="none"/>
          <w:lang w:val="en-US" w:eastAsia="zh-CN"/>
        </w:rPr>
        <w:t>十、其他重要事项的情况说明</w:t>
      </w:r>
      <w:r>
        <w:rPr>
          <w:rFonts w:hint="eastAsia" w:asciiTheme="minorEastAsia" w:hAnsiTheme="minorEastAsia" w:eastAsiaTheme="minorEastAsia" w:cstheme="minorEastAsia"/>
          <w:b/>
          <w:bCs/>
          <w:color w:val="auto"/>
          <w:sz w:val="24"/>
        </w:rPr>
        <w:tab/>
      </w:r>
      <w:r>
        <w:rPr>
          <w:rFonts w:hint="eastAsia" w:asciiTheme="minorEastAsia" w:hAnsiTheme="minorEastAsia" w:eastAsiaTheme="minorEastAsia" w:cstheme="minorEastAsia"/>
          <w:b/>
          <w:bCs/>
          <w:color w:val="auto"/>
          <w:sz w:val="24"/>
          <w:lang w:val="en-US" w:eastAsia="zh-CN"/>
        </w:rPr>
        <w:t>11</w:t>
      </w:r>
    </w:p>
    <w:p>
      <w:pPr>
        <w:pStyle w:val="10"/>
        <w:adjustRightInd w:val="0"/>
        <w:snapToGrid w:val="0"/>
        <w:spacing w:before="0" w:line="440" w:lineRule="exact"/>
        <w:jc w:val="left"/>
        <w:rPr>
          <w:rFonts w:hint="default" w:eastAsiaTheme="minorEastAsia" w:cstheme="minorBidi"/>
          <w:b/>
          <w:bCs/>
          <w:color w:val="auto"/>
          <w:sz w:val="24"/>
          <w:szCs w:val="24"/>
          <w:highlight w:val="none"/>
          <w:lang w:val="en-US" w:eastAsia="zh-CN"/>
        </w:rPr>
      </w:pPr>
      <w:r>
        <w:rPr>
          <w:rFonts w:hint="eastAsia"/>
          <w:b/>
          <w:bCs/>
          <w:color w:val="auto"/>
          <w:sz w:val="24"/>
          <w:highlight w:val="none"/>
        </w:rPr>
        <w:t>第三部分</w:t>
      </w:r>
      <w:r>
        <w:rPr>
          <w:b/>
          <w:bCs/>
          <w:color w:val="auto"/>
          <w:sz w:val="24"/>
          <w:highlight w:val="none"/>
        </w:rPr>
        <w:t xml:space="preserve"> </w:t>
      </w:r>
      <w:r>
        <w:rPr>
          <w:rFonts w:hint="eastAsia"/>
          <w:b/>
          <w:bCs/>
          <w:color w:val="auto"/>
          <w:sz w:val="24"/>
          <w:highlight w:val="none"/>
        </w:rPr>
        <w:t>名词解释</w:t>
      </w:r>
      <w:r>
        <w:rPr>
          <w:rFonts w:hint="eastAsia" w:asciiTheme="minorEastAsia" w:hAnsiTheme="minorEastAsia" w:eastAsiaTheme="minorEastAsia" w:cstheme="minorEastAsia"/>
          <w:b/>
          <w:bCs/>
          <w:color w:val="auto"/>
          <w:sz w:val="24"/>
        </w:rPr>
        <w:tab/>
      </w:r>
      <w:r>
        <w:rPr>
          <w:rFonts w:hint="eastAsia" w:asciiTheme="minorEastAsia" w:hAnsiTheme="minorEastAsia" w:eastAsiaTheme="minorEastAsia" w:cstheme="minorEastAsia"/>
          <w:b/>
          <w:bCs/>
          <w:color w:val="auto"/>
          <w:sz w:val="24"/>
          <w:lang w:val="en-US" w:eastAsia="zh-CN"/>
        </w:rPr>
        <w:t>24</w:t>
      </w:r>
    </w:p>
    <w:p>
      <w:pPr>
        <w:pStyle w:val="10"/>
        <w:adjustRightInd w:val="0"/>
        <w:snapToGrid w:val="0"/>
        <w:spacing w:before="0" w:line="440" w:lineRule="exact"/>
        <w:jc w:val="left"/>
        <w:rPr>
          <w:rFonts w:hint="default" w:eastAsiaTheme="minorEastAsia" w:cstheme="minorBidi"/>
          <w:b/>
          <w:bCs/>
          <w:color w:val="auto"/>
          <w:sz w:val="24"/>
          <w:szCs w:val="24"/>
          <w:highlight w:val="none"/>
          <w:lang w:val="en-US" w:eastAsia="zh-CN"/>
        </w:rPr>
      </w:pPr>
      <w:r>
        <w:rPr>
          <w:rFonts w:hint="eastAsia"/>
          <w:b/>
          <w:bCs/>
          <w:color w:val="auto"/>
          <w:sz w:val="24"/>
          <w:highlight w:val="none"/>
        </w:rPr>
        <w:t>第四部分</w:t>
      </w:r>
      <w:r>
        <w:rPr>
          <w:b/>
          <w:bCs/>
          <w:color w:val="auto"/>
          <w:sz w:val="24"/>
          <w:highlight w:val="none"/>
        </w:rPr>
        <w:t xml:space="preserve"> </w:t>
      </w:r>
      <w:r>
        <w:rPr>
          <w:rFonts w:hint="eastAsia"/>
          <w:b/>
          <w:bCs/>
          <w:color w:val="auto"/>
          <w:sz w:val="24"/>
          <w:highlight w:val="none"/>
        </w:rPr>
        <w:t>附件</w:t>
      </w:r>
      <w:r>
        <w:rPr>
          <w:rFonts w:hint="eastAsia" w:asciiTheme="minorEastAsia" w:hAnsiTheme="minorEastAsia" w:eastAsiaTheme="minorEastAsia" w:cstheme="minorEastAsia"/>
          <w:b/>
          <w:bCs/>
          <w:color w:val="auto"/>
          <w:sz w:val="24"/>
        </w:rPr>
        <w:tab/>
      </w:r>
      <w:r>
        <w:rPr>
          <w:rFonts w:hint="eastAsia" w:asciiTheme="minorEastAsia" w:hAnsiTheme="minorEastAsia" w:eastAsiaTheme="minorEastAsia" w:cstheme="minorEastAsia"/>
          <w:b/>
          <w:bCs/>
          <w:color w:val="auto"/>
          <w:sz w:val="24"/>
          <w:lang w:val="en-US" w:eastAsia="zh-CN"/>
        </w:rPr>
        <w:t>28</w:t>
      </w:r>
    </w:p>
    <w:p>
      <w:pPr>
        <w:pStyle w:val="10"/>
        <w:adjustRightInd w:val="0"/>
        <w:snapToGrid w:val="0"/>
        <w:spacing w:before="0" w:line="440" w:lineRule="exact"/>
        <w:jc w:val="left"/>
        <w:rPr>
          <w:rFonts w:hint="default" w:ascii="黑体" w:hAnsi="黑体" w:eastAsiaTheme="minorEastAsia"/>
          <w:b/>
          <w:bCs/>
          <w:color w:val="auto"/>
          <w:highlight w:val="none"/>
          <w:lang w:val="en-US" w:eastAsia="zh-CN"/>
        </w:rPr>
      </w:pPr>
      <w:r>
        <w:rPr>
          <w:rFonts w:hint="eastAsia"/>
          <w:b/>
          <w:bCs/>
          <w:color w:val="auto"/>
          <w:sz w:val="24"/>
          <w:highlight w:val="none"/>
        </w:rPr>
        <w:t>第五部分</w:t>
      </w:r>
      <w:r>
        <w:rPr>
          <w:b/>
          <w:bCs/>
          <w:color w:val="auto"/>
          <w:sz w:val="24"/>
          <w:highlight w:val="none"/>
        </w:rPr>
        <w:t xml:space="preserve"> </w:t>
      </w:r>
      <w:r>
        <w:rPr>
          <w:rFonts w:hint="eastAsia"/>
          <w:b/>
          <w:bCs/>
          <w:color w:val="auto"/>
          <w:sz w:val="24"/>
          <w:highlight w:val="none"/>
        </w:rPr>
        <w:t>附表</w:t>
      </w:r>
      <w:r>
        <w:rPr>
          <w:rFonts w:hint="eastAsia" w:asciiTheme="minorEastAsia" w:hAnsiTheme="minorEastAsia" w:eastAsiaTheme="minorEastAsia" w:cstheme="minorEastAsia"/>
          <w:b/>
          <w:bCs/>
          <w:color w:val="auto"/>
          <w:sz w:val="24"/>
        </w:rPr>
        <w:tab/>
      </w:r>
      <w:bookmarkStart w:id="12" w:name="_Toc15396599"/>
      <w:bookmarkStart w:id="13" w:name="_Toc15377196"/>
      <w:r>
        <w:rPr>
          <w:rFonts w:hint="eastAsia" w:eastAsiaTheme="minorEastAsia" w:cstheme="minorBidi"/>
          <w:b/>
          <w:bCs/>
          <w:color w:val="auto"/>
          <w:sz w:val="24"/>
          <w:szCs w:val="24"/>
          <w:highlight w:val="none"/>
          <w:lang w:val="en-US" w:eastAsia="zh-CN"/>
        </w:rPr>
        <w:t>39</w:t>
      </w:r>
    </w:p>
    <w:p>
      <w:pPr>
        <w:pStyle w:val="11"/>
        <w:adjustRightInd w:val="0"/>
        <w:snapToGrid w:val="0"/>
        <w:spacing w:line="440" w:lineRule="exact"/>
        <w:jc w:val="left"/>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一、收入支出决算总表</w:t>
      </w:r>
    </w:p>
    <w:p>
      <w:pPr>
        <w:pStyle w:val="11"/>
        <w:adjustRightInd w:val="0"/>
        <w:snapToGrid w:val="0"/>
        <w:spacing w:line="440" w:lineRule="exact"/>
        <w:jc w:val="left"/>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二、收入决算表</w:t>
      </w:r>
    </w:p>
    <w:p>
      <w:pPr>
        <w:pStyle w:val="11"/>
        <w:adjustRightInd w:val="0"/>
        <w:snapToGrid w:val="0"/>
        <w:spacing w:line="440" w:lineRule="exact"/>
        <w:jc w:val="left"/>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三、支出决算表</w:t>
      </w:r>
    </w:p>
    <w:p>
      <w:pPr>
        <w:pStyle w:val="11"/>
        <w:adjustRightInd w:val="0"/>
        <w:snapToGrid w:val="0"/>
        <w:spacing w:line="440" w:lineRule="exact"/>
        <w:jc w:val="left"/>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四、财政拨款收入支出决算总表</w:t>
      </w:r>
    </w:p>
    <w:p>
      <w:pPr>
        <w:pStyle w:val="11"/>
        <w:adjustRightInd w:val="0"/>
        <w:snapToGrid w:val="0"/>
        <w:spacing w:line="440" w:lineRule="exact"/>
        <w:jc w:val="left"/>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五、财政拨款支出决算明细表</w:t>
      </w:r>
    </w:p>
    <w:p>
      <w:pPr>
        <w:pStyle w:val="11"/>
        <w:adjustRightInd w:val="0"/>
        <w:snapToGrid w:val="0"/>
        <w:spacing w:line="440" w:lineRule="exact"/>
        <w:jc w:val="left"/>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六、一般公共预算财政拨款支出决算表</w:t>
      </w:r>
    </w:p>
    <w:p>
      <w:pPr>
        <w:pStyle w:val="11"/>
        <w:adjustRightInd w:val="0"/>
        <w:snapToGrid w:val="0"/>
        <w:spacing w:line="440" w:lineRule="exact"/>
        <w:jc w:val="left"/>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七、一般公共预算财政拨款支出决算明细表</w:t>
      </w:r>
    </w:p>
    <w:p>
      <w:pPr>
        <w:pStyle w:val="11"/>
        <w:adjustRightInd w:val="0"/>
        <w:snapToGrid w:val="0"/>
        <w:spacing w:line="440" w:lineRule="exact"/>
        <w:jc w:val="left"/>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八、一般公共预算财政拨款基本支出决算表</w:t>
      </w:r>
    </w:p>
    <w:p>
      <w:pPr>
        <w:pStyle w:val="11"/>
        <w:adjustRightInd w:val="0"/>
        <w:snapToGrid w:val="0"/>
        <w:spacing w:line="440" w:lineRule="exact"/>
        <w:jc w:val="left"/>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九、一般公共预算财政拨款项目支出决算表</w:t>
      </w:r>
    </w:p>
    <w:p>
      <w:pPr>
        <w:pStyle w:val="11"/>
        <w:adjustRightInd w:val="0"/>
        <w:snapToGrid w:val="0"/>
        <w:spacing w:line="440" w:lineRule="exact"/>
        <w:jc w:val="left"/>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十、一般公共预算财政拨款“三公”经费支出决算表</w:t>
      </w:r>
    </w:p>
    <w:p>
      <w:pPr>
        <w:pStyle w:val="11"/>
        <w:adjustRightInd w:val="0"/>
        <w:snapToGrid w:val="0"/>
        <w:spacing w:line="440" w:lineRule="exact"/>
        <w:jc w:val="left"/>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十一、政府性基金预算财政拨款收入支出决算表</w:t>
      </w:r>
    </w:p>
    <w:p>
      <w:pPr>
        <w:pStyle w:val="11"/>
        <w:adjustRightInd w:val="0"/>
        <w:snapToGrid w:val="0"/>
        <w:spacing w:line="440" w:lineRule="exact"/>
        <w:jc w:val="left"/>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十二、政府性基金预算财政拨款“三公”经费支出决算表</w:t>
      </w:r>
    </w:p>
    <w:p>
      <w:pPr>
        <w:pStyle w:val="11"/>
        <w:adjustRightInd w:val="0"/>
        <w:snapToGrid w:val="0"/>
        <w:spacing w:line="440" w:lineRule="exact"/>
        <w:jc w:val="left"/>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十三、国有资本经营预算</w:t>
      </w:r>
      <w:r>
        <w:rPr>
          <w:rFonts w:hint="eastAsia" w:asciiTheme="minorEastAsia" w:hAnsiTheme="minorEastAsia" w:eastAsiaTheme="minorEastAsia" w:cstheme="minorEastAsia"/>
          <w:b/>
          <w:bCs/>
          <w:color w:val="auto"/>
          <w:sz w:val="24"/>
          <w:highlight w:val="none"/>
          <w:lang w:eastAsia="zh-CN"/>
        </w:rPr>
        <w:t>财政拨款收入</w:t>
      </w:r>
      <w:r>
        <w:rPr>
          <w:rFonts w:hint="eastAsia" w:asciiTheme="minorEastAsia" w:hAnsiTheme="minorEastAsia" w:eastAsiaTheme="minorEastAsia" w:cstheme="minorEastAsia"/>
          <w:b/>
          <w:bCs/>
          <w:color w:val="auto"/>
          <w:sz w:val="24"/>
          <w:highlight w:val="none"/>
        </w:rPr>
        <w:t>支出决算表</w:t>
      </w:r>
    </w:p>
    <w:p>
      <w:pPr>
        <w:pStyle w:val="11"/>
        <w:adjustRightInd w:val="0"/>
        <w:snapToGrid w:val="0"/>
        <w:spacing w:line="440" w:lineRule="exact"/>
        <w:jc w:val="left"/>
        <w:rPr>
          <w:rFonts w:hint="eastAsia" w:asciiTheme="minorEastAsia" w:hAnsiTheme="minorEastAsia" w:eastAsiaTheme="minorEastAsia" w:cstheme="minorEastAsia"/>
          <w:b/>
          <w:bCs/>
          <w:color w:val="auto"/>
          <w:sz w:val="24"/>
          <w:highlight w:val="none"/>
          <w:lang w:val="en-US" w:eastAsia="zh-CN"/>
        </w:rPr>
      </w:pPr>
      <w:r>
        <w:rPr>
          <w:rFonts w:hint="eastAsia" w:asciiTheme="minorEastAsia" w:hAnsiTheme="minorEastAsia" w:eastAsiaTheme="minorEastAsia" w:cstheme="minorEastAsia"/>
          <w:b/>
          <w:bCs/>
          <w:color w:val="auto"/>
          <w:sz w:val="24"/>
          <w:highlight w:val="none"/>
          <w:lang w:val="en-US" w:eastAsia="zh-CN"/>
        </w:rPr>
        <w:t>十四、国有资本经营预算财政拨款支出决算表</w:t>
      </w:r>
    </w:p>
    <w:p>
      <w:pPr>
        <w:pStyle w:val="3"/>
        <w:pageBreakBefore w:val="0"/>
        <w:kinsoku/>
        <w:wordWrap/>
        <w:overflowPunct/>
        <w:topLinePunct w:val="0"/>
        <w:autoSpaceDE/>
        <w:autoSpaceDN/>
        <w:bidi w:val="0"/>
        <w:spacing w:before="0" w:after="0" w:line="560" w:lineRule="exact"/>
        <w:ind w:firstLine="0" w:firstLineChars="0"/>
        <w:jc w:val="center"/>
        <w:textAlignment w:val="auto"/>
        <w:rPr>
          <w:rFonts w:hint="eastAsia" w:ascii="黑体" w:hAnsi="黑体" w:eastAsia="黑体"/>
          <w:b/>
          <w:bCs/>
          <w:color w:val="auto"/>
          <w:highlight w:val="none"/>
        </w:rPr>
      </w:pPr>
    </w:p>
    <w:p>
      <w:pPr>
        <w:pStyle w:val="3"/>
        <w:pageBreakBefore w:val="0"/>
        <w:kinsoku/>
        <w:wordWrap/>
        <w:overflowPunct/>
        <w:topLinePunct w:val="0"/>
        <w:autoSpaceDE/>
        <w:autoSpaceDN/>
        <w:bidi w:val="0"/>
        <w:spacing w:before="0" w:after="0" w:line="560" w:lineRule="exact"/>
        <w:ind w:firstLine="0" w:firstLineChars="0"/>
        <w:jc w:val="center"/>
        <w:textAlignment w:val="auto"/>
        <w:rPr>
          <w:rFonts w:hint="eastAsia" w:ascii="黑体" w:hAnsi="黑体" w:eastAsia="黑体"/>
          <w:b/>
          <w:bCs/>
          <w:color w:val="auto"/>
          <w:highlight w:val="none"/>
        </w:rPr>
      </w:pPr>
    </w:p>
    <w:p>
      <w:pPr>
        <w:pStyle w:val="3"/>
        <w:pageBreakBefore w:val="0"/>
        <w:kinsoku/>
        <w:wordWrap/>
        <w:overflowPunct/>
        <w:topLinePunct w:val="0"/>
        <w:autoSpaceDE/>
        <w:autoSpaceDN/>
        <w:bidi w:val="0"/>
        <w:spacing w:before="0" w:after="0" w:line="560" w:lineRule="exact"/>
        <w:ind w:firstLine="0" w:firstLineChars="0"/>
        <w:jc w:val="center"/>
        <w:textAlignment w:val="auto"/>
        <w:rPr>
          <w:rFonts w:hint="eastAsia" w:ascii="黑体" w:hAnsi="黑体" w:eastAsia="黑体"/>
          <w:b/>
          <w:bCs/>
          <w:color w:val="auto"/>
          <w:highlight w:val="none"/>
        </w:rPr>
      </w:pPr>
    </w:p>
    <w:p>
      <w:pPr>
        <w:rPr>
          <w:rFonts w:hint="eastAsia"/>
          <w:b/>
          <w:bCs/>
          <w:color w:val="auto"/>
        </w:rPr>
      </w:pPr>
    </w:p>
    <w:p>
      <w:pPr>
        <w:pStyle w:val="3"/>
        <w:pageBreakBefore w:val="0"/>
        <w:kinsoku/>
        <w:wordWrap/>
        <w:overflowPunct/>
        <w:topLinePunct w:val="0"/>
        <w:autoSpaceDE/>
        <w:autoSpaceDN/>
        <w:bidi w:val="0"/>
        <w:spacing w:before="0" w:after="0" w:line="560" w:lineRule="exact"/>
        <w:ind w:firstLine="0" w:firstLineChars="0"/>
        <w:jc w:val="center"/>
        <w:textAlignment w:val="auto"/>
        <w:rPr>
          <w:rFonts w:hint="eastAsia" w:ascii="黑体" w:hAnsi="黑体" w:eastAsia="黑体"/>
          <w:b/>
          <w:bCs/>
          <w:color w:val="auto"/>
          <w:highlight w:val="none"/>
        </w:rPr>
        <w:sectPr>
          <w:footerReference r:id="rId3" w:type="default"/>
          <w:pgSz w:w="11906" w:h="16838"/>
          <w:pgMar w:top="1440" w:right="1803" w:bottom="1440" w:left="1803" w:header="851" w:footer="992" w:gutter="0"/>
          <w:pgNumType w:fmt="numberInDash" w:start="1"/>
          <w:cols w:space="425" w:num="1"/>
          <w:docGrid w:type="lines" w:linePitch="312" w:charSpace="0"/>
        </w:sectPr>
      </w:pPr>
    </w:p>
    <w:p>
      <w:pPr>
        <w:rPr>
          <w:rFonts w:hint="eastAsia"/>
          <w:b/>
          <w:bCs/>
          <w:color w:val="auto"/>
        </w:rPr>
      </w:pPr>
    </w:p>
    <w:p>
      <w:pPr>
        <w:pStyle w:val="3"/>
        <w:pageBreakBefore w:val="0"/>
        <w:kinsoku/>
        <w:wordWrap/>
        <w:overflowPunct/>
        <w:topLinePunct w:val="0"/>
        <w:autoSpaceDE/>
        <w:autoSpaceDN/>
        <w:bidi w:val="0"/>
        <w:spacing w:before="0" w:after="0" w:line="560" w:lineRule="exact"/>
        <w:ind w:firstLine="0" w:firstLineChars="0"/>
        <w:jc w:val="center"/>
        <w:textAlignment w:val="auto"/>
        <w:rPr>
          <w:rStyle w:val="24"/>
          <w:rFonts w:ascii="黑体" w:hAnsi="黑体" w:eastAsia="黑体"/>
          <w:b/>
          <w:bCs/>
          <w:color w:val="auto"/>
          <w:highlight w:val="none"/>
        </w:rPr>
      </w:pPr>
      <w:r>
        <w:rPr>
          <w:rFonts w:hint="eastAsia" w:ascii="黑体" w:hAnsi="黑体" w:eastAsia="黑体"/>
          <w:b/>
          <w:bCs/>
          <w:color w:val="auto"/>
          <w:highlight w:val="none"/>
        </w:rPr>
        <w:t xml:space="preserve">第一部分 </w:t>
      </w:r>
      <w:r>
        <w:rPr>
          <w:rStyle w:val="24"/>
          <w:rFonts w:hint="eastAsia" w:ascii="黑体" w:hAnsi="黑体" w:eastAsia="黑体"/>
          <w:b/>
          <w:bCs/>
          <w:color w:val="auto"/>
          <w:highlight w:val="none"/>
        </w:rPr>
        <w:t>部门概况</w:t>
      </w:r>
      <w:bookmarkEnd w:id="12"/>
      <w:bookmarkEnd w:id="13"/>
    </w:p>
    <w:p>
      <w:pPr>
        <w:pageBreakBefore w:val="0"/>
        <w:widowControl/>
        <w:kinsoku/>
        <w:wordWrap/>
        <w:overflowPunct/>
        <w:topLinePunct w:val="0"/>
        <w:autoSpaceDE/>
        <w:autoSpaceDN/>
        <w:bidi w:val="0"/>
        <w:spacing w:line="560" w:lineRule="exact"/>
        <w:ind w:firstLine="0" w:firstLineChars="0"/>
        <w:jc w:val="both"/>
        <w:textAlignment w:val="auto"/>
        <w:rPr>
          <w:rFonts w:ascii="黑体" w:eastAsia="黑体"/>
          <w:b/>
          <w:bCs/>
          <w:color w:val="auto"/>
          <w:sz w:val="32"/>
          <w:szCs w:val="32"/>
          <w:highlight w:val="none"/>
        </w:rPr>
      </w:pPr>
    </w:p>
    <w:p>
      <w:pPr>
        <w:pStyle w:val="4"/>
        <w:pageBreakBefore w:val="0"/>
        <w:widowControl w:val="0"/>
        <w:kinsoku/>
        <w:wordWrap/>
        <w:overflowPunct/>
        <w:topLinePunct w:val="0"/>
        <w:autoSpaceDE/>
        <w:autoSpaceDN/>
        <w:bidi w:val="0"/>
        <w:spacing w:before="0" w:after="0" w:line="560" w:lineRule="exact"/>
        <w:ind w:firstLine="643" w:firstLineChars="200"/>
        <w:jc w:val="both"/>
        <w:textAlignment w:val="auto"/>
        <w:rPr>
          <w:rStyle w:val="25"/>
          <w:rFonts w:hint="eastAsia" w:ascii="方正黑体简体" w:hAnsi="方正黑体简体" w:eastAsia="方正黑体简体" w:cs="方正黑体简体"/>
          <w:b/>
          <w:bCs/>
          <w:color w:val="auto"/>
          <w:highlight w:val="none"/>
        </w:rPr>
      </w:pPr>
      <w:bookmarkStart w:id="14" w:name="_Toc15377197"/>
      <w:bookmarkStart w:id="15" w:name="_Toc15396600"/>
      <w:r>
        <w:rPr>
          <w:rFonts w:hint="eastAsia" w:ascii="方正黑体简体" w:hAnsi="方正黑体简体" w:eastAsia="方正黑体简体" w:cs="方正黑体简体"/>
          <w:b/>
          <w:bCs/>
          <w:color w:val="auto"/>
          <w:highlight w:val="none"/>
        </w:rPr>
        <w:t>一、基</w:t>
      </w:r>
      <w:r>
        <w:rPr>
          <w:rStyle w:val="25"/>
          <w:rFonts w:hint="eastAsia" w:ascii="方正黑体简体" w:hAnsi="方正黑体简体" w:eastAsia="方正黑体简体" w:cs="方正黑体简体"/>
          <w:b/>
          <w:bCs/>
          <w:color w:val="auto"/>
          <w:highlight w:val="none"/>
        </w:rPr>
        <w:t>本职能及主要工作</w:t>
      </w:r>
      <w:bookmarkEnd w:id="14"/>
      <w:bookmarkEnd w:id="15"/>
    </w:p>
    <w:p>
      <w:pPr>
        <w:pStyle w:val="2"/>
        <w:pageBreakBefore w:val="0"/>
        <w:widowControl w:val="0"/>
        <w:kinsoku/>
        <w:wordWrap/>
        <w:overflowPunct/>
        <w:topLinePunct w:val="0"/>
        <w:autoSpaceDE/>
        <w:autoSpaceDN/>
        <w:bidi w:val="0"/>
        <w:adjustRightInd w:val="0"/>
        <w:snapToGrid w:val="0"/>
        <w:spacing w:beforeLines="0" w:line="560" w:lineRule="exact"/>
        <w:ind w:firstLine="643" w:firstLineChars="200"/>
        <w:jc w:val="both"/>
        <w:textAlignment w:val="auto"/>
        <w:outlineLvl w:val="2"/>
        <w:rPr>
          <w:rFonts w:hint="eastAsia" w:ascii="方正楷体简体" w:hAnsi="方正楷体简体" w:eastAsia="方正楷体简体" w:cs="方正楷体简体"/>
          <w:b/>
          <w:bCs/>
          <w:color w:val="auto"/>
          <w:sz w:val="32"/>
          <w:szCs w:val="32"/>
          <w:highlight w:val="none"/>
        </w:rPr>
      </w:pPr>
      <w:bookmarkStart w:id="16" w:name="_Toc15377198"/>
      <w:bookmarkStart w:id="17" w:name="_Toc15378445"/>
      <w:r>
        <w:rPr>
          <w:rFonts w:hint="eastAsia" w:ascii="方正楷体简体" w:hAnsi="方正楷体简体" w:eastAsia="方正楷体简体" w:cs="方正楷体简体"/>
          <w:b/>
          <w:bCs/>
          <w:color w:val="auto"/>
          <w:sz w:val="32"/>
          <w:szCs w:val="32"/>
          <w:highlight w:val="none"/>
        </w:rPr>
        <w:t>（一）</w:t>
      </w:r>
      <w:r>
        <w:rPr>
          <w:rFonts w:hint="eastAsia" w:ascii="方正楷体简体" w:hAnsi="方正楷体简体" w:eastAsia="方正楷体简体" w:cs="方正楷体简体"/>
          <w:b/>
          <w:bCs/>
          <w:color w:val="auto"/>
          <w:sz w:val="32"/>
          <w:szCs w:val="32"/>
          <w:highlight w:val="none"/>
          <w:lang w:eastAsia="zh-CN"/>
        </w:rPr>
        <w:t>基本</w:t>
      </w:r>
      <w:r>
        <w:rPr>
          <w:rFonts w:hint="eastAsia" w:ascii="方正楷体简体" w:hAnsi="方正楷体简体" w:eastAsia="方正楷体简体" w:cs="方正楷体简体"/>
          <w:b/>
          <w:bCs/>
          <w:color w:val="auto"/>
          <w:sz w:val="32"/>
          <w:szCs w:val="32"/>
          <w:highlight w:val="none"/>
        </w:rPr>
        <w:t>职能</w:t>
      </w:r>
      <w:bookmarkEnd w:id="16"/>
      <w:bookmarkEnd w:id="17"/>
    </w:p>
    <w:p>
      <w:pPr>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方正仿宋简体" w:hAnsi="方正仿宋简体" w:eastAsia="方正仿宋简体" w:cs="方正仿宋简体"/>
          <w:b/>
          <w:bCs/>
          <w:color w:val="auto"/>
          <w:sz w:val="32"/>
          <w:szCs w:val="32"/>
        </w:rPr>
      </w:pPr>
      <w:r>
        <w:rPr>
          <w:rFonts w:hint="eastAsia" w:ascii="方正仿宋简体" w:hAnsi="方正仿宋简体" w:eastAsia="方正仿宋简体" w:cs="方正仿宋简体"/>
          <w:b/>
          <w:bCs/>
          <w:color w:val="auto"/>
          <w:sz w:val="32"/>
          <w:szCs w:val="32"/>
        </w:rPr>
        <w:t>省人大常委会办公厅是省人大常委会的办事工作机构，主要职责是：承担省人民代表大会会议、常委会会议、常委会党组会议、常委会主任会议和</w:t>
      </w:r>
      <w:r>
        <w:rPr>
          <w:rFonts w:hint="eastAsia" w:ascii="方正仿宋简体" w:hAnsi="方正仿宋简体" w:eastAsia="方正仿宋简体" w:cs="方正仿宋简体"/>
          <w:b/>
          <w:bCs/>
          <w:color w:val="auto"/>
          <w:sz w:val="32"/>
          <w:szCs w:val="32"/>
          <w:lang w:eastAsia="zh-CN"/>
        </w:rPr>
        <w:t>秘书长办公会议</w:t>
      </w:r>
      <w:r>
        <w:rPr>
          <w:rFonts w:hint="eastAsia" w:ascii="方正仿宋简体" w:hAnsi="方正仿宋简体" w:eastAsia="方正仿宋简体" w:cs="方正仿宋简体"/>
          <w:b/>
          <w:bCs/>
          <w:color w:val="auto"/>
          <w:sz w:val="32"/>
          <w:szCs w:val="32"/>
        </w:rPr>
        <w:t>、机关党组会议的会务工作及会议决定事项的督办工作；负责常委会组成人员视察和常委会执法检查有关工作；负责省人大及其常委会的文电、档案、保密、文印工作；负责常委会机关信息网络建设和办公自动化建设；负责编辑出版《四川省人大常委会公报》；受主任会议委托，拟订有关议案草案；承办省人大常委会同各市（州）、县（市、区）人大常委会联系有关工作；负责省人大常委会的新闻发布会和宣传工作，组织对省人民代表大会</w:t>
      </w:r>
      <w:r>
        <w:rPr>
          <w:rFonts w:hint="eastAsia" w:ascii="方正仿宋简体" w:hAnsi="方正仿宋简体" w:eastAsia="方正仿宋简体" w:cs="方正仿宋简体"/>
          <w:b/>
          <w:bCs/>
          <w:color w:val="auto"/>
          <w:sz w:val="32"/>
          <w:szCs w:val="32"/>
          <w:lang w:eastAsia="zh-CN"/>
        </w:rPr>
        <w:t>会议</w:t>
      </w:r>
      <w:r>
        <w:rPr>
          <w:rFonts w:hint="eastAsia" w:ascii="方正仿宋简体" w:hAnsi="方正仿宋简体" w:eastAsia="方正仿宋简体" w:cs="方正仿宋简体"/>
          <w:b/>
          <w:bCs/>
          <w:color w:val="auto"/>
          <w:sz w:val="32"/>
          <w:szCs w:val="32"/>
        </w:rPr>
        <w:t>、常委会会议、常委会主任会议以及对民主法制建设、人大制度、人大工作的宣传报道；受常委会委托，负责联系新闻宣传部门和常委会机关刊物，分管《人民权力报》《民主法制建设》杂志；负责省人大机关的机构编制、人事管理、干部培训工作及离退休人员的管理服务工作；负责省人大机关、锦江大礼堂的安全保卫和管理工作；协办全国人大常委会领导同志来川视察的接待工作，承办兄弟省</w:t>
      </w:r>
      <w:r>
        <w:rPr>
          <w:rFonts w:hint="eastAsia" w:ascii="方正仿宋简体" w:hAnsi="方正仿宋简体" w:eastAsia="方正仿宋简体" w:cs="方正仿宋简体"/>
          <w:b/>
          <w:bCs/>
          <w:color w:val="auto"/>
          <w:sz w:val="32"/>
          <w:szCs w:val="32"/>
          <w:lang w:eastAsia="zh-CN"/>
        </w:rPr>
        <w:t>（</w:t>
      </w:r>
      <w:r>
        <w:rPr>
          <w:rFonts w:hint="eastAsia" w:ascii="方正仿宋简体" w:hAnsi="方正仿宋简体" w:eastAsia="方正仿宋简体" w:cs="方正仿宋简体"/>
          <w:b/>
          <w:bCs/>
          <w:color w:val="auto"/>
          <w:sz w:val="32"/>
          <w:szCs w:val="32"/>
        </w:rPr>
        <w:t>区、市</w:t>
      </w:r>
      <w:r>
        <w:rPr>
          <w:rFonts w:hint="eastAsia" w:ascii="方正仿宋简体" w:hAnsi="方正仿宋简体" w:eastAsia="方正仿宋简体" w:cs="方正仿宋简体"/>
          <w:b/>
          <w:bCs/>
          <w:color w:val="auto"/>
          <w:sz w:val="32"/>
          <w:szCs w:val="32"/>
          <w:lang w:eastAsia="zh-CN"/>
        </w:rPr>
        <w:t>）</w:t>
      </w:r>
      <w:r>
        <w:rPr>
          <w:rFonts w:hint="eastAsia" w:ascii="方正仿宋简体" w:hAnsi="方正仿宋简体" w:eastAsia="方正仿宋简体" w:cs="方正仿宋简体"/>
          <w:b/>
          <w:bCs/>
          <w:color w:val="auto"/>
          <w:sz w:val="32"/>
          <w:szCs w:val="32"/>
        </w:rPr>
        <w:t>人大常委会领导同志来川考察的接待工作；负责省人大</w:t>
      </w:r>
      <w:r>
        <w:rPr>
          <w:rFonts w:hint="eastAsia" w:ascii="方正仿宋简体" w:hAnsi="方正仿宋简体" w:eastAsia="方正仿宋简体" w:cs="方正仿宋简体"/>
          <w:b/>
          <w:bCs/>
          <w:color w:val="auto"/>
          <w:sz w:val="32"/>
          <w:szCs w:val="32"/>
          <w:lang w:eastAsia="zh-CN"/>
        </w:rPr>
        <w:t>常委会</w:t>
      </w:r>
      <w:r>
        <w:rPr>
          <w:rFonts w:hint="eastAsia" w:ascii="方正仿宋简体" w:hAnsi="方正仿宋简体" w:eastAsia="方正仿宋简体" w:cs="方正仿宋简体"/>
          <w:b/>
          <w:bCs/>
          <w:color w:val="auto"/>
          <w:sz w:val="32"/>
          <w:szCs w:val="32"/>
        </w:rPr>
        <w:t>机关的财务管理、国有资产管理工作；受省人大常委会、常委会党组会议、常委会主任会议、机关党组会议、</w:t>
      </w:r>
      <w:r>
        <w:rPr>
          <w:rFonts w:hint="eastAsia" w:ascii="方正仿宋简体" w:hAnsi="方正仿宋简体" w:eastAsia="方正仿宋简体" w:cs="方正仿宋简体"/>
          <w:b/>
          <w:bCs/>
          <w:color w:val="auto"/>
          <w:sz w:val="32"/>
          <w:szCs w:val="32"/>
          <w:lang w:eastAsia="zh-CN"/>
        </w:rPr>
        <w:t>秘书长办公会议</w:t>
      </w:r>
      <w:r>
        <w:rPr>
          <w:rFonts w:hint="eastAsia" w:ascii="方正仿宋简体" w:hAnsi="方正仿宋简体" w:eastAsia="方正仿宋简体" w:cs="方正仿宋简体"/>
          <w:b/>
          <w:bCs/>
          <w:color w:val="auto"/>
          <w:sz w:val="32"/>
          <w:szCs w:val="32"/>
        </w:rPr>
        <w:t>和常委会主任、副主任、秘书长的委托，综合、协调常委会及专门委员会办事工作机构的工作；承办省人大常委会、常委会党组会议、常委会主任会议、机关党组会议、</w:t>
      </w:r>
      <w:r>
        <w:rPr>
          <w:rFonts w:hint="eastAsia" w:ascii="方正仿宋简体" w:hAnsi="方正仿宋简体" w:eastAsia="方正仿宋简体" w:cs="方正仿宋简体"/>
          <w:b/>
          <w:bCs/>
          <w:color w:val="auto"/>
          <w:sz w:val="32"/>
          <w:szCs w:val="32"/>
          <w:lang w:eastAsia="zh-CN"/>
        </w:rPr>
        <w:t>秘书长办公会议</w:t>
      </w:r>
      <w:r>
        <w:rPr>
          <w:rFonts w:hint="eastAsia" w:ascii="方正仿宋简体" w:hAnsi="方正仿宋简体" w:eastAsia="方正仿宋简体" w:cs="方正仿宋简体"/>
          <w:b/>
          <w:bCs/>
          <w:color w:val="auto"/>
          <w:sz w:val="32"/>
          <w:szCs w:val="32"/>
        </w:rPr>
        <w:t>和常委会主任、副主任、秘书长、副秘书长交办的有关工作。</w:t>
      </w:r>
    </w:p>
    <w:p>
      <w:pPr>
        <w:pStyle w:val="4"/>
        <w:pageBreakBefore w:val="0"/>
        <w:widowControl w:val="0"/>
        <w:numPr>
          <w:ilvl w:val="0"/>
          <w:numId w:val="0"/>
        </w:numPr>
        <w:kinsoku/>
        <w:wordWrap/>
        <w:overflowPunct/>
        <w:topLinePunct w:val="0"/>
        <w:autoSpaceDE/>
        <w:autoSpaceDN/>
        <w:bidi w:val="0"/>
        <w:adjustRightInd/>
        <w:spacing w:before="0" w:after="0" w:line="560" w:lineRule="exact"/>
        <w:ind w:firstLine="643" w:firstLineChars="200"/>
        <w:jc w:val="both"/>
        <w:textAlignment w:val="auto"/>
        <w:rPr>
          <w:rFonts w:hint="eastAsia" w:ascii="方正楷体简体" w:hAnsi="方正楷体简体" w:eastAsia="方正楷体简体" w:cs="方正楷体简体"/>
          <w:b/>
          <w:bCs/>
          <w:color w:val="auto"/>
        </w:rPr>
      </w:pPr>
      <w:r>
        <w:rPr>
          <w:rFonts w:hint="eastAsia" w:ascii="方正楷体简体" w:hAnsi="方正楷体简体" w:eastAsia="方正楷体简体" w:cs="方正楷体简体"/>
          <w:b/>
          <w:bCs/>
          <w:color w:val="auto"/>
          <w:lang w:eastAsia="zh-CN"/>
        </w:rPr>
        <w:t>（二）</w:t>
      </w:r>
      <w:r>
        <w:rPr>
          <w:rFonts w:hint="eastAsia" w:ascii="方正楷体简体" w:hAnsi="方正楷体简体" w:eastAsia="方正楷体简体" w:cs="方正楷体简体"/>
          <w:b/>
          <w:bCs/>
          <w:color w:val="auto"/>
        </w:rPr>
        <w:t>2020年重点工作完成情况</w:t>
      </w:r>
    </w:p>
    <w:p>
      <w:pPr>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方正仿宋简体" w:hAnsi="方正仿宋简体" w:eastAsia="方正仿宋简体" w:cs="方正仿宋简体"/>
          <w:b/>
          <w:bCs/>
          <w:color w:val="auto"/>
          <w:sz w:val="32"/>
          <w:szCs w:val="32"/>
        </w:rPr>
      </w:pPr>
      <w:r>
        <w:rPr>
          <w:rFonts w:hint="eastAsia" w:ascii="方正仿宋简体" w:hAnsi="方正仿宋简体" w:eastAsia="方正仿宋简体" w:cs="方正仿宋简体"/>
          <w:b/>
          <w:bCs/>
          <w:color w:val="auto"/>
          <w:sz w:val="32"/>
          <w:szCs w:val="32"/>
        </w:rPr>
        <w:t>省十三届人大三次会议以来，省人大常委会共召开7次会议，审议21件省级地方性法规，通过10件，其中制定3件，修改4件，废止3件；审查批准41件市州地方性法规和民族自治地方单行条例；听取和审议32个专项工作报告，开展8项重点课题调研，对15部法律法规实施情况进行检查；对6项有关法律问题和重大问题作出决定决议；审议通过19件任免案，依法任免164人次国家机关工作人员，完成了省十三届人大三次会议确定的</w:t>
      </w:r>
      <w:r>
        <w:rPr>
          <w:rFonts w:hint="eastAsia" w:ascii="方正仿宋简体" w:hAnsi="方正仿宋简体" w:eastAsia="方正仿宋简体" w:cs="方正仿宋简体"/>
          <w:b/>
          <w:bCs/>
          <w:color w:val="auto"/>
          <w:sz w:val="32"/>
          <w:szCs w:val="32"/>
          <w:lang w:eastAsia="zh-CN"/>
        </w:rPr>
        <w:t>各项</w:t>
      </w:r>
      <w:r>
        <w:rPr>
          <w:rFonts w:hint="eastAsia" w:ascii="方正仿宋简体" w:hAnsi="方正仿宋简体" w:eastAsia="方正仿宋简体" w:cs="方正仿宋简体"/>
          <w:b/>
          <w:bCs/>
          <w:color w:val="auto"/>
          <w:sz w:val="32"/>
          <w:szCs w:val="32"/>
        </w:rPr>
        <w:t>任务，全力保障了夺取疫情防控和经济社会发展“双胜利”，全力助推了决战脱贫攻坚决胜全面小康。</w:t>
      </w:r>
    </w:p>
    <w:p>
      <w:pPr>
        <w:pStyle w:val="4"/>
        <w:pageBreakBefore w:val="0"/>
        <w:widowControl w:val="0"/>
        <w:kinsoku/>
        <w:wordWrap/>
        <w:overflowPunct/>
        <w:topLinePunct w:val="0"/>
        <w:autoSpaceDE/>
        <w:autoSpaceDN/>
        <w:bidi w:val="0"/>
        <w:spacing w:before="0" w:after="0" w:line="560" w:lineRule="exact"/>
        <w:ind w:firstLine="643" w:firstLineChars="200"/>
        <w:jc w:val="both"/>
        <w:textAlignment w:val="auto"/>
        <w:rPr>
          <w:rStyle w:val="25"/>
          <w:rFonts w:hint="eastAsia" w:ascii="方正黑体简体" w:hAnsi="方正黑体简体" w:eastAsia="方正黑体简体" w:cs="方正黑体简体"/>
          <w:b/>
          <w:bCs/>
          <w:color w:val="auto"/>
          <w:highlight w:val="none"/>
        </w:rPr>
      </w:pPr>
      <w:bookmarkStart w:id="18" w:name="_Toc15377200"/>
      <w:bookmarkStart w:id="19" w:name="_Toc15396601"/>
      <w:r>
        <w:rPr>
          <w:rFonts w:hint="eastAsia" w:ascii="方正黑体简体" w:hAnsi="方正黑体简体" w:eastAsia="方正黑体简体" w:cs="方正黑体简体"/>
          <w:b/>
          <w:bCs/>
          <w:color w:val="auto"/>
          <w:highlight w:val="none"/>
        </w:rPr>
        <w:t>二、机</w:t>
      </w:r>
      <w:r>
        <w:rPr>
          <w:rStyle w:val="25"/>
          <w:rFonts w:hint="eastAsia" w:ascii="方正黑体简体" w:hAnsi="方正黑体简体" w:eastAsia="方正黑体简体" w:cs="方正黑体简体"/>
          <w:b/>
          <w:bCs/>
          <w:color w:val="auto"/>
          <w:highlight w:val="none"/>
        </w:rPr>
        <w:t>构设置</w:t>
      </w:r>
      <w:bookmarkEnd w:id="18"/>
      <w:bookmarkEnd w:id="19"/>
    </w:p>
    <w:p>
      <w:pPr>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方正仿宋简体" w:hAnsi="方正仿宋简体" w:eastAsia="方正仿宋简体" w:cs="方正仿宋简体"/>
          <w:b/>
          <w:bCs/>
          <w:color w:val="auto"/>
          <w:sz w:val="32"/>
          <w:szCs w:val="32"/>
        </w:rPr>
      </w:pPr>
      <w:bookmarkStart w:id="20" w:name="_Toc15377204"/>
      <w:bookmarkStart w:id="21" w:name="_Toc15396602"/>
      <w:r>
        <w:rPr>
          <w:rFonts w:hint="eastAsia" w:ascii="方正仿宋简体" w:hAnsi="方正仿宋简体" w:eastAsia="方正仿宋简体" w:cs="方正仿宋简体"/>
          <w:b/>
          <w:bCs/>
          <w:color w:val="auto"/>
          <w:sz w:val="32"/>
          <w:szCs w:val="32"/>
        </w:rPr>
        <w:t>省人大常委会办公厅下属二级预算单位</w:t>
      </w:r>
      <w:r>
        <w:rPr>
          <w:rFonts w:hint="eastAsia" w:ascii="方正仿宋简体" w:hAnsi="方正仿宋简体" w:eastAsia="方正仿宋简体" w:cs="方正仿宋简体"/>
          <w:b/>
          <w:bCs/>
          <w:color w:val="auto"/>
          <w:sz w:val="32"/>
          <w:szCs w:val="32"/>
          <w:lang w:val="en-US" w:eastAsia="zh-CN"/>
        </w:rPr>
        <w:t>5</w:t>
      </w:r>
      <w:r>
        <w:rPr>
          <w:rFonts w:hint="eastAsia" w:ascii="方正仿宋简体" w:hAnsi="方正仿宋简体" w:eastAsia="方正仿宋简体" w:cs="方正仿宋简体"/>
          <w:b/>
          <w:bCs/>
          <w:color w:val="auto"/>
          <w:sz w:val="32"/>
          <w:szCs w:val="32"/>
        </w:rPr>
        <w:t>个，其中行政单位</w:t>
      </w:r>
      <w:r>
        <w:rPr>
          <w:rFonts w:hint="eastAsia" w:ascii="方正仿宋简体" w:hAnsi="方正仿宋简体" w:eastAsia="方正仿宋简体" w:cs="方正仿宋简体"/>
          <w:b/>
          <w:bCs/>
          <w:color w:val="auto"/>
          <w:sz w:val="32"/>
          <w:szCs w:val="32"/>
          <w:lang w:val="en-US" w:eastAsia="zh-CN"/>
        </w:rPr>
        <w:t>1</w:t>
      </w:r>
      <w:r>
        <w:rPr>
          <w:rFonts w:hint="eastAsia" w:ascii="方正仿宋简体" w:hAnsi="方正仿宋简体" w:eastAsia="方正仿宋简体" w:cs="方正仿宋简体"/>
          <w:b/>
          <w:bCs/>
          <w:color w:val="auto"/>
          <w:sz w:val="32"/>
          <w:szCs w:val="32"/>
        </w:rPr>
        <w:t>个，参照公务员法管理的事业单位</w:t>
      </w:r>
      <w:r>
        <w:rPr>
          <w:rFonts w:hint="eastAsia" w:ascii="方正仿宋简体" w:hAnsi="方正仿宋简体" w:eastAsia="方正仿宋简体" w:cs="方正仿宋简体"/>
          <w:b/>
          <w:bCs/>
          <w:color w:val="auto"/>
          <w:sz w:val="32"/>
          <w:szCs w:val="32"/>
          <w:lang w:val="en-US" w:eastAsia="zh-CN"/>
        </w:rPr>
        <w:t>1</w:t>
      </w:r>
      <w:r>
        <w:rPr>
          <w:rFonts w:hint="eastAsia" w:ascii="方正仿宋简体" w:hAnsi="方正仿宋简体" w:eastAsia="方正仿宋简体" w:cs="方正仿宋简体"/>
          <w:b/>
          <w:bCs/>
          <w:color w:val="auto"/>
          <w:sz w:val="32"/>
          <w:szCs w:val="32"/>
        </w:rPr>
        <w:t>个，其他事业单位</w:t>
      </w:r>
      <w:r>
        <w:rPr>
          <w:rFonts w:hint="eastAsia" w:ascii="方正仿宋简体" w:hAnsi="方正仿宋简体" w:eastAsia="方正仿宋简体" w:cs="方正仿宋简体"/>
          <w:b/>
          <w:bCs/>
          <w:color w:val="auto"/>
          <w:sz w:val="32"/>
          <w:szCs w:val="32"/>
          <w:lang w:val="en-US" w:eastAsia="zh-CN"/>
        </w:rPr>
        <w:t>3</w:t>
      </w:r>
      <w:r>
        <w:rPr>
          <w:rFonts w:hint="eastAsia" w:ascii="方正仿宋简体" w:hAnsi="方正仿宋简体" w:eastAsia="方正仿宋简体" w:cs="方正仿宋简体"/>
          <w:b/>
          <w:bCs/>
          <w:color w:val="auto"/>
          <w:sz w:val="32"/>
          <w:szCs w:val="32"/>
        </w:rPr>
        <w:t>个。纳入省人大常委会办公厅</w:t>
      </w:r>
      <w:r>
        <w:rPr>
          <w:rFonts w:hint="eastAsia" w:ascii="方正仿宋简体" w:hAnsi="方正仿宋简体" w:eastAsia="方正仿宋简体" w:cs="方正仿宋简体"/>
          <w:b/>
          <w:bCs/>
          <w:color w:val="auto"/>
          <w:sz w:val="32"/>
          <w:szCs w:val="32"/>
          <w:lang w:val="en-US" w:eastAsia="zh-CN"/>
        </w:rPr>
        <w:t>2020</w:t>
      </w:r>
      <w:r>
        <w:rPr>
          <w:rFonts w:hint="eastAsia" w:ascii="方正仿宋简体" w:hAnsi="方正仿宋简体" w:eastAsia="方正仿宋简体" w:cs="方正仿宋简体"/>
          <w:b/>
          <w:bCs/>
          <w:color w:val="auto"/>
          <w:sz w:val="32"/>
          <w:szCs w:val="32"/>
        </w:rPr>
        <w:t>年度部门决算编制范围的二级预算单位包括：</w:t>
      </w:r>
    </w:p>
    <w:p>
      <w:pPr>
        <w:pageBreakBefore w:val="0"/>
        <w:widowControl w:val="0"/>
        <w:kinsoku/>
        <w:wordWrap/>
        <w:overflowPunct/>
        <w:topLinePunct w:val="0"/>
        <w:autoSpaceDE/>
        <w:autoSpaceDN/>
        <w:bidi w:val="0"/>
        <w:snapToGrid w:val="0"/>
        <w:spacing w:line="560" w:lineRule="exact"/>
        <w:ind w:firstLine="643" w:firstLineChars="200"/>
        <w:textAlignment w:val="auto"/>
        <w:rPr>
          <w:rFonts w:hint="eastAsia" w:ascii="方正仿宋简体" w:hAnsi="方正仿宋简体" w:eastAsia="方正仿宋简体" w:cs="方正仿宋简体"/>
          <w:b/>
          <w:bCs/>
          <w:color w:val="auto"/>
          <w:sz w:val="32"/>
          <w:szCs w:val="32"/>
          <w:lang w:val="en-US" w:eastAsia="zh-CN"/>
        </w:rPr>
      </w:pPr>
      <w:r>
        <w:rPr>
          <w:rFonts w:hint="eastAsia" w:ascii="方正仿宋简体" w:hAnsi="方正仿宋简体" w:eastAsia="方正仿宋简体" w:cs="方正仿宋简体"/>
          <w:b/>
          <w:bCs/>
          <w:color w:val="auto"/>
          <w:sz w:val="32"/>
          <w:szCs w:val="32"/>
          <w:lang w:val="en-US" w:eastAsia="zh-CN"/>
        </w:rPr>
        <w:t>1.四川</w:t>
      </w:r>
      <w:r>
        <w:rPr>
          <w:rFonts w:hint="eastAsia" w:ascii="方正仿宋简体" w:hAnsi="方正仿宋简体" w:eastAsia="方正仿宋简体" w:cs="方正仿宋简体"/>
          <w:b/>
          <w:bCs/>
          <w:color w:val="auto"/>
          <w:sz w:val="32"/>
          <w:szCs w:val="32"/>
        </w:rPr>
        <w:t>省人大常委会办公厅</w:t>
      </w:r>
      <w:r>
        <w:rPr>
          <w:rFonts w:hint="eastAsia" w:ascii="方正仿宋简体" w:hAnsi="方正仿宋简体" w:eastAsia="方正仿宋简体" w:cs="方正仿宋简体"/>
          <w:b/>
          <w:bCs/>
          <w:color w:val="auto"/>
          <w:sz w:val="32"/>
          <w:szCs w:val="32"/>
          <w:lang w:eastAsia="zh-CN"/>
        </w:rPr>
        <w:t>（本级）</w:t>
      </w:r>
    </w:p>
    <w:p>
      <w:pPr>
        <w:pageBreakBefore w:val="0"/>
        <w:widowControl w:val="0"/>
        <w:kinsoku/>
        <w:wordWrap/>
        <w:overflowPunct/>
        <w:topLinePunct w:val="0"/>
        <w:autoSpaceDE/>
        <w:autoSpaceDN/>
        <w:bidi w:val="0"/>
        <w:snapToGrid w:val="0"/>
        <w:spacing w:line="560" w:lineRule="exact"/>
        <w:ind w:firstLine="643" w:firstLineChars="200"/>
        <w:textAlignment w:val="auto"/>
        <w:rPr>
          <w:rFonts w:hint="eastAsia" w:ascii="方正仿宋简体" w:hAnsi="方正仿宋简体" w:eastAsia="方正仿宋简体" w:cs="方正仿宋简体"/>
          <w:b/>
          <w:bCs/>
          <w:color w:val="auto"/>
          <w:sz w:val="32"/>
          <w:szCs w:val="32"/>
        </w:rPr>
      </w:pPr>
      <w:r>
        <w:rPr>
          <w:rFonts w:hint="eastAsia" w:ascii="方正仿宋简体" w:hAnsi="方正仿宋简体" w:eastAsia="方正仿宋简体" w:cs="方正仿宋简体"/>
          <w:b/>
          <w:bCs/>
          <w:color w:val="auto"/>
          <w:sz w:val="32"/>
          <w:szCs w:val="32"/>
          <w:lang w:val="en-US" w:eastAsia="zh-CN"/>
        </w:rPr>
        <w:t>2</w:t>
      </w:r>
      <w:r>
        <w:rPr>
          <w:rFonts w:hint="eastAsia" w:ascii="方正仿宋简体" w:hAnsi="方正仿宋简体" w:eastAsia="方正仿宋简体" w:cs="方正仿宋简体"/>
          <w:b/>
          <w:bCs/>
          <w:color w:val="auto"/>
          <w:sz w:val="32"/>
          <w:szCs w:val="32"/>
        </w:rPr>
        <w:t>.</w:t>
      </w:r>
      <w:r>
        <w:rPr>
          <w:rFonts w:hint="eastAsia" w:ascii="方正仿宋简体" w:hAnsi="方正仿宋简体" w:eastAsia="方正仿宋简体" w:cs="方正仿宋简体"/>
          <w:b/>
          <w:bCs/>
          <w:color w:val="auto"/>
          <w:sz w:val="32"/>
          <w:szCs w:val="32"/>
          <w:lang w:eastAsia="zh-CN"/>
        </w:rPr>
        <w:t>四川省省级机关老干部休养三所</w:t>
      </w:r>
    </w:p>
    <w:p>
      <w:pPr>
        <w:pageBreakBefore w:val="0"/>
        <w:widowControl w:val="0"/>
        <w:kinsoku/>
        <w:wordWrap/>
        <w:overflowPunct/>
        <w:topLinePunct w:val="0"/>
        <w:autoSpaceDE/>
        <w:autoSpaceDN/>
        <w:bidi w:val="0"/>
        <w:snapToGrid w:val="0"/>
        <w:spacing w:line="560" w:lineRule="exact"/>
        <w:ind w:firstLine="643" w:firstLineChars="200"/>
        <w:textAlignment w:val="auto"/>
        <w:rPr>
          <w:rFonts w:hint="eastAsia" w:ascii="方正仿宋简体" w:hAnsi="方正仿宋简体" w:eastAsia="方正仿宋简体" w:cs="方正仿宋简体"/>
          <w:b/>
          <w:bCs/>
          <w:color w:val="auto"/>
          <w:sz w:val="32"/>
          <w:szCs w:val="32"/>
        </w:rPr>
      </w:pPr>
      <w:r>
        <w:rPr>
          <w:rFonts w:hint="eastAsia" w:ascii="方正仿宋简体" w:hAnsi="方正仿宋简体" w:eastAsia="方正仿宋简体" w:cs="方正仿宋简体"/>
          <w:b/>
          <w:bCs/>
          <w:color w:val="auto"/>
          <w:sz w:val="32"/>
          <w:szCs w:val="32"/>
          <w:lang w:val="en-US" w:eastAsia="zh-CN"/>
        </w:rPr>
        <w:t>3</w:t>
      </w:r>
      <w:r>
        <w:rPr>
          <w:rFonts w:hint="eastAsia" w:ascii="方正仿宋简体" w:hAnsi="方正仿宋简体" w:eastAsia="方正仿宋简体" w:cs="方正仿宋简体"/>
          <w:b/>
          <w:bCs/>
          <w:color w:val="auto"/>
          <w:sz w:val="32"/>
          <w:szCs w:val="32"/>
        </w:rPr>
        <w:t>.四川省人大常委会办公厅机关服务中心</w:t>
      </w:r>
    </w:p>
    <w:p>
      <w:pPr>
        <w:pageBreakBefore w:val="0"/>
        <w:widowControl w:val="0"/>
        <w:kinsoku/>
        <w:wordWrap/>
        <w:overflowPunct/>
        <w:topLinePunct w:val="0"/>
        <w:autoSpaceDE/>
        <w:autoSpaceDN/>
        <w:bidi w:val="0"/>
        <w:snapToGrid w:val="0"/>
        <w:spacing w:line="560" w:lineRule="exact"/>
        <w:ind w:firstLine="643" w:firstLineChars="200"/>
        <w:textAlignment w:val="auto"/>
        <w:rPr>
          <w:rFonts w:hint="eastAsia" w:ascii="方正仿宋简体" w:hAnsi="方正仿宋简体" w:eastAsia="方正仿宋简体" w:cs="方正仿宋简体"/>
          <w:b/>
          <w:bCs/>
          <w:color w:val="auto"/>
          <w:sz w:val="32"/>
          <w:szCs w:val="32"/>
        </w:rPr>
      </w:pPr>
      <w:r>
        <w:rPr>
          <w:rFonts w:hint="eastAsia" w:ascii="方正仿宋简体" w:hAnsi="方正仿宋简体" w:eastAsia="方正仿宋简体" w:cs="方正仿宋简体"/>
          <w:b/>
          <w:bCs/>
          <w:color w:val="auto"/>
          <w:sz w:val="32"/>
          <w:szCs w:val="32"/>
          <w:lang w:val="en-US" w:eastAsia="zh-CN"/>
        </w:rPr>
        <w:t>4</w:t>
      </w:r>
      <w:r>
        <w:rPr>
          <w:rFonts w:hint="eastAsia" w:ascii="方正仿宋简体" w:hAnsi="方正仿宋简体" w:eastAsia="方正仿宋简体" w:cs="方正仿宋简体"/>
          <w:b/>
          <w:bCs/>
          <w:color w:val="auto"/>
          <w:sz w:val="32"/>
          <w:szCs w:val="32"/>
        </w:rPr>
        <w:t>.四川省人大常委会办公厅信息中心</w:t>
      </w:r>
    </w:p>
    <w:p>
      <w:pPr>
        <w:pageBreakBefore w:val="0"/>
        <w:widowControl w:val="0"/>
        <w:kinsoku/>
        <w:wordWrap/>
        <w:overflowPunct/>
        <w:topLinePunct w:val="0"/>
        <w:autoSpaceDE/>
        <w:autoSpaceDN/>
        <w:bidi w:val="0"/>
        <w:snapToGrid w:val="0"/>
        <w:spacing w:line="560" w:lineRule="exact"/>
        <w:ind w:firstLine="643" w:firstLineChars="200"/>
        <w:textAlignment w:val="auto"/>
        <w:rPr>
          <w:rFonts w:ascii="仿宋" w:hAnsi="仿宋" w:eastAsia="仿宋" w:cs="仿宋"/>
          <w:b/>
          <w:bCs/>
          <w:color w:val="auto"/>
          <w:sz w:val="32"/>
          <w:szCs w:val="32"/>
        </w:rPr>
      </w:pPr>
      <w:r>
        <w:rPr>
          <w:rFonts w:hint="eastAsia" w:ascii="方正仿宋简体" w:hAnsi="方正仿宋简体" w:eastAsia="方正仿宋简体" w:cs="方正仿宋简体"/>
          <w:b/>
          <w:bCs/>
          <w:color w:val="auto"/>
          <w:sz w:val="32"/>
          <w:szCs w:val="32"/>
        </w:rPr>
        <w:t>预算联网中心</w:t>
      </w:r>
      <w:r>
        <w:rPr>
          <w:rFonts w:hint="eastAsia" w:ascii="方正仿宋简体" w:hAnsi="方正仿宋简体" w:eastAsia="方正仿宋简体" w:cs="方正仿宋简体"/>
          <w:b/>
          <w:bCs/>
          <w:color w:val="auto"/>
          <w:sz w:val="32"/>
          <w:szCs w:val="32"/>
          <w:lang w:eastAsia="zh-CN"/>
        </w:rPr>
        <w:t>于</w:t>
      </w:r>
      <w:r>
        <w:rPr>
          <w:rFonts w:hint="eastAsia" w:ascii="方正仿宋简体" w:hAnsi="方正仿宋简体" w:eastAsia="方正仿宋简体" w:cs="方正仿宋简体"/>
          <w:b/>
          <w:bCs/>
          <w:color w:val="auto"/>
          <w:sz w:val="32"/>
          <w:szCs w:val="32"/>
        </w:rPr>
        <w:t>2020年成立，当年并未开设账户，因此2020年决算中无其相关数据。</w:t>
      </w:r>
    </w:p>
    <w:p>
      <w:pPr>
        <w:pStyle w:val="3"/>
        <w:ind w:right="440"/>
        <w:jc w:val="center"/>
        <w:rPr>
          <w:rStyle w:val="24"/>
          <w:rFonts w:ascii="黑体" w:hAnsi="黑体" w:eastAsia="黑体"/>
          <w:b/>
          <w:bCs/>
          <w:color w:val="auto"/>
          <w:highlight w:val="none"/>
        </w:rPr>
      </w:pPr>
      <w:r>
        <w:rPr>
          <w:rFonts w:hint="eastAsia" w:ascii="黑体" w:hAnsi="黑体" w:eastAsia="黑体"/>
          <w:b/>
          <w:bCs/>
          <w:color w:val="auto"/>
          <w:highlight w:val="none"/>
          <w:lang w:val="en-US" w:eastAsia="zh-CN"/>
        </w:rPr>
        <w:t xml:space="preserve">  </w:t>
      </w:r>
      <w:r>
        <w:rPr>
          <w:rFonts w:hint="eastAsia" w:ascii="黑体" w:hAnsi="黑体" w:eastAsia="黑体"/>
          <w:b/>
          <w:bCs/>
          <w:color w:val="auto"/>
          <w:highlight w:val="none"/>
        </w:rPr>
        <w:t xml:space="preserve">第二部分 </w:t>
      </w:r>
      <w:r>
        <w:rPr>
          <w:rFonts w:hint="eastAsia" w:ascii="黑体" w:hAnsi="黑体" w:eastAsia="黑体"/>
          <w:b/>
          <w:bCs/>
          <w:color w:val="auto"/>
          <w:highlight w:val="none"/>
          <w:lang w:val="en-US" w:eastAsia="zh-CN"/>
        </w:rPr>
        <w:t>2020年度</w:t>
      </w:r>
      <w:r>
        <w:rPr>
          <w:rStyle w:val="24"/>
          <w:rFonts w:hint="eastAsia" w:ascii="黑体" w:hAnsi="黑体" w:eastAsia="黑体"/>
          <w:b/>
          <w:bCs/>
          <w:color w:val="auto"/>
          <w:highlight w:val="none"/>
        </w:rPr>
        <w:t>部门决算情况说明</w:t>
      </w:r>
      <w:bookmarkEnd w:id="20"/>
      <w:bookmarkEnd w:id="21"/>
    </w:p>
    <w:p>
      <w:pPr>
        <w:pStyle w:val="23"/>
        <w:numPr>
          <w:ilvl w:val="0"/>
          <w:numId w:val="1"/>
        </w:numPr>
        <w:spacing w:line="600" w:lineRule="exact"/>
        <w:ind w:left="1560" w:leftChars="0" w:firstLineChars="0"/>
        <w:outlineLvl w:val="1"/>
        <w:rPr>
          <w:rStyle w:val="25"/>
          <w:rFonts w:hint="eastAsia" w:ascii="方正黑体简体" w:hAnsi="方正黑体简体" w:eastAsia="方正黑体简体" w:cs="方正黑体简体"/>
          <w:b/>
          <w:bCs/>
          <w:color w:val="auto"/>
          <w:highlight w:val="none"/>
        </w:rPr>
      </w:pPr>
      <w:bookmarkStart w:id="22" w:name="_Toc15396603"/>
      <w:bookmarkStart w:id="23" w:name="_Toc15377205"/>
      <w:r>
        <w:rPr>
          <w:rFonts w:hint="eastAsia" w:ascii="方正黑体简体" w:hAnsi="方正黑体简体" w:eastAsia="方正黑体简体" w:cs="方正黑体简体"/>
          <w:b/>
          <w:bCs/>
          <w:color w:val="auto"/>
          <w:sz w:val="32"/>
          <w:szCs w:val="32"/>
          <w:highlight w:val="none"/>
        </w:rPr>
        <w:t>收</w:t>
      </w:r>
      <w:r>
        <w:rPr>
          <w:rStyle w:val="25"/>
          <w:rFonts w:hint="eastAsia" w:ascii="方正黑体简体" w:hAnsi="方正黑体简体" w:eastAsia="方正黑体简体" w:cs="方正黑体简体"/>
          <w:b/>
          <w:bCs/>
          <w:color w:val="auto"/>
          <w:highlight w:val="none"/>
        </w:rPr>
        <w:t>入支出决算总体情况说明</w:t>
      </w:r>
      <w:bookmarkEnd w:id="22"/>
      <w:bookmarkEnd w:id="23"/>
    </w:p>
    <w:p>
      <w:pPr>
        <w:snapToGrid w:val="0"/>
        <w:spacing w:line="540" w:lineRule="exact"/>
        <w:ind w:firstLine="643" w:firstLineChars="200"/>
        <w:rPr>
          <w:rFonts w:hint="eastAsia" w:ascii="方正仿宋简体" w:hAnsi="方正仿宋简体" w:eastAsia="方正仿宋简体" w:cs="方正仿宋简体"/>
          <w:b/>
          <w:bCs/>
          <w:color w:val="auto"/>
          <w:sz w:val="32"/>
          <w:szCs w:val="32"/>
          <w:lang w:val="en-US" w:eastAsia="zh-CN"/>
        </w:rPr>
      </w:pPr>
      <w:r>
        <w:rPr>
          <w:rFonts w:hint="eastAsia" w:ascii="方正仿宋简体" w:hAnsi="方正仿宋简体" w:eastAsia="方正仿宋简体" w:cs="方正仿宋简体"/>
          <w:b/>
          <w:bCs/>
          <w:color w:val="auto"/>
          <w:sz w:val="32"/>
          <w:szCs w:val="32"/>
          <w:lang w:val="en-US" w:eastAsia="zh-CN"/>
        </w:rPr>
        <w:t>2020年度收、支总计15724.20万元。与2019年相比，收、支总计各减少1970万元，下降11.13%。主要变动原因是一次性项目经费减少。</w:t>
      </w:r>
    </w:p>
    <w:p>
      <w:pPr>
        <w:pStyle w:val="2"/>
        <w:rPr>
          <w:rFonts w:hint="eastAsia" w:ascii="方正仿宋简体" w:hAnsi="方正仿宋简体" w:eastAsia="方正仿宋简体" w:cs="方正仿宋简体"/>
          <w:b/>
          <w:bCs/>
          <w:color w:val="auto"/>
          <w:sz w:val="32"/>
          <w:szCs w:val="32"/>
          <w:lang w:val="en-US" w:eastAsia="zh-CN"/>
        </w:rPr>
      </w:pPr>
      <w:r>
        <w:rPr>
          <w:sz w:val="32"/>
        </w:rPr>
        <mc:AlternateContent>
          <mc:Choice Requires="wps">
            <w:drawing>
              <wp:anchor distT="0" distB="0" distL="114300" distR="114300" simplePos="0" relativeHeight="251668480" behindDoc="0" locked="0" layoutInCell="1" allowOverlap="1">
                <wp:simplePos x="0" y="0"/>
                <wp:positionH relativeFrom="column">
                  <wp:posOffset>3971925</wp:posOffset>
                </wp:positionH>
                <wp:positionV relativeFrom="paragraph">
                  <wp:posOffset>368300</wp:posOffset>
                </wp:positionV>
                <wp:extent cx="826770" cy="315595"/>
                <wp:effectExtent l="0" t="0" r="11430" b="8255"/>
                <wp:wrapSquare wrapText="bothSides"/>
                <wp:docPr id="19" name="文本框 19"/>
                <wp:cNvGraphicFramePr/>
                <a:graphic xmlns:a="http://schemas.openxmlformats.org/drawingml/2006/main">
                  <a:graphicData uri="http://schemas.microsoft.com/office/word/2010/wordprocessingShape">
                    <wps:wsp>
                      <wps:cNvSpPr txBox="1"/>
                      <wps:spPr>
                        <a:xfrm>
                          <a:off x="0" y="0"/>
                          <a:ext cx="826770" cy="3155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单位：万元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2.75pt;margin-top:29pt;height:24.85pt;width:65.1pt;mso-wrap-distance-bottom:0pt;mso-wrap-distance-left:9pt;mso-wrap-distance-right:9pt;mso-wrap-distance-top:0pt;z-index:251668480;mso-width-relative:page;mso-height-relative:page;" fillcolor="#FFFFFF [3201]" filled="t" stroked="f" coordsize="21600,21600" o:gfxdata="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K+2ZWvVAAAACgEAAA8AAAAA&#10;AAAAAQAgAAAAIgAAAGRycy9kb3ducmV2LnhtbFBLAQIUABQAAAAIAIdO4kAkj2XBUAIAAJAEAAAO&#10;AAAAAAAAAAEAIAAAACQBAABkcnMvZTJvRG9jLnhtbFBLBQYAAAAABgAGAFkBAADmBQAAAAA=&#10;">
                <v:fill on="t" focussize="0,0"/>
                <v:stroke on="f" weight="0.5pt"/>
                <v:imagedata o:title=""/>
                <o:lock v:ext="edit" aspectratio="f"/>
                <v:textbox>
                  <w:txbxContent>
                    <w:p>
                      <w:pPr>
                        <w:pStyle w:val="2"/>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单位：万元</w:t>
                      </w:r>
                    </w:p>
                  </w:txbxContent>
                </v:textbox>
                <w10:wrap type="square"/>
              </v:shape>
            </w:pict>
          </mc:Fallback>
        </mc:AlternateContent>
      </w:r>
      <w:r>
        <w:drawing>
          <wp:anchor distT="0" distB="0" distL="114300" distR="114300" simplePos="0" relativeHeight="251667456" behindDoc="0" locked="0" layoutInCell="1" allowOverlap="1">
            <wp:simplePos x="0" y="0"/>
            <wp:positionH relativeFrom="column">
              <wp:posOffset>375920</wp:posOffset>
            </wp:positionH>
            <wp:positionV relativeFrom="paragraph">
              <wp:posOffset>264160</wp:posOffset>
            </wp:positionV>
            <wp:extent cx="4572000" cy="2762250"/>
            <wp:effectExtent l="4445" t="4445" r="14605" b="14605"/>
            <wp:wrapSquare wrapText="bothSides"/>
            <wp:docPr id="1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2"/>
        <w:rPr>
          <w:rFonts w:hint="eastAsia" w:ascii="方正仿宋简体" w:hAnsi="方正仿宋简体" w:eastAsia="方正仿宋简体" w:cs="方正仿宋简体"/>
          <w:b/>
          <w:bCs/>
          <w:color w:val="auto"/>
          <w:sz w:val="32"/>
          <w:szCs w:val="32"/>
          <w:lang w:val="en-US" w:eastAsia="zh-CN"/>
        </w:rPr>
      </w:pPr>
      <w:r>
        <w:rPr>
          <w:sz w:val="32"/>
        </w:rPr>
        <mc:AlternateContent>
          <mc:Choice Requires="wps">
            <w:drawing>
              <wp:anchor distT="0" distB="0" distL="114300" distR="114300" simplePos="0" relativeHeight="251669504" behindDoc="0" locked="0" layoutInCell="1" allowOverlap="1">
                <wp:simplePos x="0" y="0"/>
                <wp:positionH relativeFrom="column">
                  <wp:posOffset>1363980</wp:posOffset>
                </wp:positionH>
                <wp:positionV relativeFrom="paragraph">
                  <wp:posOffset>156210</wp:posOffset>
                </wp:positionV>
                <wp:extent cx="617855" cy="248285"/>
                <wp:effectExtent l="0" t="0" r="10795" b="18415"/>
                <wp:wrapNone/>
                <wp:docPr id="20" name="文本框 20"/>
                <wp:cNvGraphicFramePr/>
                <a:graphic xmlns:a="http://schemas.openxmlformats.org/drawingml/2006/main">
                  <a:graphicData uri="http://schemas.microsoft.com/office/word/2010/wordprocessingShape">
                    <wps:wsp>
                      <wps:cNvSpPr txBox="1"/>
                      <wps:spPr>
                        <a:xfrm>
                          <a:off x="2680335" y="5001260"/>
                          <a:ext cx="617855" cy="2482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sz w:val="18"/>
                                <w:szCs w:val="21"/>
                                <w:lang w:val="en-US" w:eastAsia="zh-CN"/>
                              </w:rPr>
                              <w:t>17694.20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7.4pt;margin-top:12.3pt;height:19.55pt;width:48.65pt;z-index:251669504;mso-width-relative:page;mso-height-relative:page;" fillcolor="#FFFFFF [3201]" filled="t" stroked="f" coordsize="21600,21600" o:gfxdata="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m0D59UA&#10;AAAJAQAADwAAAAAAAAABACAAAAAiAAAAZHJzL2Rvd25yZXYueG1sUEsBAhQAFAAAAAgAh07iQAm5&#10;JvNbAgAAnAQAAA4AAAAAAAAAAQAgAAAAJAEAAGRycy9lMm9Eb2MueG1sUEsFBgAAAAAGAAYAWQEA&#10;APEFAAAAAA==&#10;">
                <v:fill on="t" focussize="0,0"/>
                <v:stroke on="f" weight="0.5pt"/>
                <v:imagedata o:title=""/>
                <o:lock v:ext="edit" aspectratio="f"/>
                <v:textbox>
                  <w:txbxContent>
                    <w:p>
                      <w:pPr>
                        <w:rPr>
                          <w:rFonts w:hint="default" w:eastAsia="宋体"/>
                          <w:lang w:val="en-US" w:eastAsia="zh-CN"/>
                        </w:rPr>
                      </w:pPr>
                      <w:r>
                        <w:rPr>
                          <w:rFonts w:hint="eastAsia"/>
                          <w:sz w:val="18"/>
                          <w:szCs w:val="21"/>
                          <w:lang w:val="en-US" w:eastAsia="zh-CN"/>
                        </w:rPr>
                        <w:t>17694.20</w:t>
                      </w:r>
                    </w:p>
                  </w:txbxContent>
                </v:textbox>
              </v:shape>
            </w:pict>
          </mc:Fallback>
        </mc:AlternateContent>
      </w:r>
      <w:r>
        <w:rPr>
          <w:sz w:val="32"/>
        </w:rPr>
        <mc:AlternateContent>
          <mc:Choice Requires="wps">
            <w:drawing>
              <wp:anchor distT="0" distB="0" distL="114300" distR="114300" simplePos="0" relativeHeight="251670528" behindDoc="0" locked="0" layoutInCell="1" allowOverlap="1">
                <wp:simplePos x="0" y="0"/>
                <wp:positionH relativeFrom="column">
                  <wp:posOffset>3268980</wp:posOffset>
                </wp:positionH>
                <wp:positionV relativeFrom="paragraph">
                  <wp:posOffset>165735</wp:posOffset>
                </wp:positionV>
                <wp:extent cx="617855" cy="248285"/>
                <wp:effectExtent l="0" t="0" r="10795" b="18415"/>
                <wp:wrapNone/>
                <wp:docPr id="21" name="文本框 21"/>
                <wp:cNvGraphicFramePr/>
                <a:graphic xmlns:a="http://schemas.openxmlformats.org/drawingml/2006/main">
                  <a:graphicData uri="http://schemas.microsoft.com/office/word/2010/wordprocessingShape">
                    <wps:wsp>
                      <wps:cNvSpPr txBox="1"/>
                      <wps:spPr>
                        <a:xfrm>
                          <a:off x="0" y="0"/>
                          <a:ext cx="617855" cy="2482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sz w:val="18"/>
                                <w:szCs w:val="21"/>
                                <w:lang w:val="en-US" w:eastAsia="zh-CN"/>
                              </w:rPr>
                              <w:t>17694.20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7.4pt;margin-top:13.05pt;height:19.55pt;width:48.65pt;z-index:251670528;mso-width-relative:page;mso-height-relative:page;" fillcolor="#FFFFFF [3201]" filled="t" stroked="f" coordsize="21600,21600" o:gfxdata="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uS9209QAAAAJAQAADwAAAAAA&#10;AAABACAAAAAiAAAAZHJzL2Rvd25yZXYueG1sUEsBAhQAFAAAAAgAh07iQMJ8KG9QAgAAkAQAAA4A&#10;AAAAAAAAAQAgAAAAIwEAAGRycy9lMm9Eb2MueG1sUEsFBgAAAAAGAAYAWQEAAOUFAAAAAA==&#10;">
                <v:fill on="t" focussize="0,0"/>
                <v:stroke on="f" weight="0.5pt"/>
                <v:imagedata o:title=""/>
                <o:lock v:ext="edit" aspectratio="f"/>
                <v:textbox>
                  <w:txbxContent>
                    <w:p>
                      <w:pPr>
                        <w:rPr>
                          <w:rFonts w:hint="default" w:eastAsia="宋体"/>
                          <w:lang w:val="en-US" w:eastAsia="zh-CN"/>
                        </w:rPr>
                      </w:pPr>
                      <w:r>
                        <w:rPr>
                          <w:rFonts w:hint="eastAsia"/>
                          <w:sz w:val="18"/>
                          <w:szCs w:val="21"/>
                          <w:lang w:val="en-US" w:eastAsia="zh-CN"/>
                        </w:rPr>
                        <w:t>17694.20</w:t>
                      </w:r>
                    </w:p>
                  </w:txbxContent>
                </v:textbox>
              </v:shape>
            </w:pict>
          </mc:Fallback>
        </mc:AlternateContent>
      </w:r>
    </w:p>
    <w:p>
      <w:pPr>
        <w:pStyle w:val="2"/>
        <w:rPr>
          <w:rFonts w:hint="eastAsia" w:ascii="方正仿宋简体" w:hAnsi="方正仿宋简体" w:eastAsia="方正仿宋简体" w:cs="方正仿宋简体"/>
          <w:b/>
          <w:bCs/>
          <w:color w:val="auto"/>
          <w:sz w:val="32"/>
          <w:szCs w:val="32"/>
          <w:lang w:val="en-US" w:eastAsia="zh-CN"/>
        </w:rPr>
      </w:pPr>
    </w:p>
    <w:p>
      <w:pPr>
        <w:pStyle w:val="2"/>
        <w:rPr>
          <w:rFonts w:hint="eastAsia" w:ascii="方正仿宋简体" w:hAnsi="方正仿宋简体" w:eastAsia="方正仿宋简体" w:cs="方正仿宋简体"/>
          <w:b/>
          <w:bCs/>
          <w:color w:val="auto"/>
          <w:sz w:val="32"/>
          <w:szCs w:val="32"/>
          <w:lang w:val="en-US" w:eastAsia="zh-CN"/>
        </w:rPr>
      </w:pPr>
      <w:r>
        <w:rPr>
          <w:sz w:val="32"/>
        </w:rPr>
        <mc:AlternateContent>
          <mc:Choice Requires="wps">
            <w:drawing>
              <wp:anchor distT="0" distB="0" distL="114300" distR="114300" simplePos="0" relativeHeight="251672576" behindDoc="0" locked="0" layoutInCell="1" allowOverlap="1">
                <wp:simplePos x="0" y="0"/>
                <wp:positionH relativeFrom="column">
                  <wp:posOffset>3830955</wp:posOffset>
                </wp:positionH>
                <wp:positionV relativeFrom="paragraph">
                  <wp:posOffset>206375</wp:posOffset>
                </wp:positionV>
                <wp:extent cx="617855" cy="248285"/>
                <wp:effectExtent l="0" t="0" r="10795" b="18415"/>
                <wp:wrapNone/>
                <wp:docPr id="23" name="文本框 23"/>
                <wp:cNvGraphicFramePr/>
                <a:graphic xmlns:a="http://schemas.openxmlformats.org/drawingml/2006/main">
                  <a:graphicData uri="http://schemas.microsoft.com/office/word/2010/wordprocessingShape">
                    <wps:wsp>
                      <wps:cNvSpPr txBox="1"/>
                      <wps:spPr>
                        <a:xfrm>
                          <a:off x="0" y="0"/>
                          <a:ext cx="617855" cy="2482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sz w:val="18"/>
                                <w:szCs w:val="21"/>
                                <w:lang w:val="en-US" w:eastAsia="zh-CN"/>
                              </w:rPr>
                              <w:t>15724.20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1.65pt;margin-top:16.25pt;height:19.55pt;width:48.65pt;z-index:251672576;mso-width-relative:page;mso-height-relative:page;" fillcolor="#FFFFFF [3201]" filled="t" stroked="f" coordsize="21600,21600" o:gfxdata="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a+FxUtQAAAAJAQAADwAAAAAA&#10;AAABACAAAAAiAAAAZHJzL2Rvd25yZXYueG1sUEsBAhQAFAAAAAgAh07iQMNAnP5QAgAAkAQAAA4A&#10;AAAAAAAAAQAgAAAAIwEAAGRycy9lMm9Eb2MueG1sUEsFBgAAAAAGAAYAWQEAAOUFAAAAAA==&#10;">
                <v:fill on="t" focussize="0,0"/>
                <v:stroke on="f" weight="0.5pt"/>
                <v:imagedata o:title=""/>
                <o:lock v:ext="edit" aspectratio="f"/>
                <v:textbox>
                  <w:txbxContent>
                    <w:p>
                      <w:pPr>
                        <w:rPr>
                          <w:rFonts w:hint="default" w:eastAsia="宋体"/>
                          <w:lang w:val="en-US" w:eastAsia="zh-CN"/>
                        </w:rPr>
                      </w:pPr>
                      <w:r>
                        <w:rPr>
                          <w:rFonts w:hint="eastAsia"/>
                          <w:sz w:val="18"/>
                          <w:szCs w:val="21"/>
                          <w:lang w:val="en-US" w:eastAsia="zh-CN"/>
                        </w:rPr>
                        <w:t>15724.20</w:t>
                      </w:r>
                    </w:p>
                  </w:txbxContent>
                </v:textbox>
              </v:shape>
            </w:pict>
          </mc:Fallback>
        </mc:AlternateContent>
      </w:r>
      <w:r>
        <w:rPr>
          <w:sz w:val="32"/>
        </w:rPr>
        <mc:AlternateContent>
          <mc:Choice Requires="wps">
            <w:drawing>
              <wp:anchor distT="0" distB="0" distL="114300" distR="114300" simplePos="0" relativeHeight="251671552" behindDoc="0" locked="0" layoutInCell="1" allowOverlap="1">
                <wp:simplePos x="0" y="0"/>
                <wp:positionH relativeFrom="column">
                  <wp:posOffset>1954530</wp:posOffset>
                </wp:positionH>
                <wp:positionV relativeFrom="paragraph">
                  <wp:posOffset>215900</wp:posOffset>
                </wp:positionV>
                <wp:extent cx="617855" cy="248285"/>
                <wp:effectExtent l="0" t="0" r="10795" b="18415"/>
                <wp:wrapNone/>
                <wp:docPr id="22" name="文本框 22"/>
                <wp:cNvGraphicFramePr/>
                <a:graphic xmlns:a="http://schemas.openxmlformats.org/drawingml/2006/main">
                  <a:graphicData uri="http://schemas.microsoft.com/office/word/2010/wordprocessingShape">
                    <wps:wsp>
                      <wps:cNvSpPr txBox="1"/>
                      <wps:spPr>
                        <a:xfrm>
                          <a:off x="0" y="0"/>
                          <a:ext cx="617855" cy="2482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sz w:val="18"/>
                                <w:szCs w:val="21"/>
                                <w:lang w:val="en-US" w:eastAsia="zh-CN"/>
                              </w:rPr>
                              <w:t>15724.20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3.9pt;margin-top:17pt;height:19.55pt;width:48.65pt;z-index:251671552;mso-width-relative:page;mso-height-relative:page;" fillcolor="#FFFFFF [3201]" filled="t" stroked="f" coordsize="21600,21600" o:gfxdata="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LYIaWtQAAAAJAQAADwAAAAAA&#10;AAABACAAAAAiAAAAZHJzL2Rvd25yZXYueG1sUEsBAhQAFAAAAAgAh07iQOPd/ltQAgAAkAQAAA4A&#10;AAAAAAAAAQAgAAAAIwEAAGRycy9lMm9Eb2MueG1sUEsFBgAAAAAGAAYAWQEAAOUFAAAAAA==&#10;">
                <v:fill on="t" focussize="0,0"/>
                <v:stroke on="f" weight="0.5pt"/>
                <v:imagedata o:title=""/>
                <o:lock v:ext="edit" aspectratio="f"/>
                <v:textbox>
                  <w:txbxContent>
                    <w:p>
                      <w:pPr>
                        <w:rPr>
                          <w:rFonts w:hint="default" w:eastAsia="宋体"/>
                          <w:lang w:val="en-US" w:eastAsia="zh-CN"/>
                        </w:rPr>
                      </w:pPr>
                      <w:r>
                        <w:rPr>
                          <w:rFonts w:hint="eastAsia"/>
                          <w:sz w:val="18"/>
                          <w:szCs w:val="21"/>
                          <w:lang w:val="en-US" w:eastAsia="zh-CN"/>
                        </w:rPr>
                        <w:t>15724.20</w:t>
                      </w:r>
                    </w:p>
                  </w:txbxContent>
                </v:textbox>
              </v:shape>
            </w:pict>
          </mc:Fallback>
        </mc:AlternateContent>
      </w:r>
    </w:p>
    <w:p>
      <w:pPr>
        <w:pStyle w:val="2"/>
        <w:rPr>
          <w:rFonts w:hint="eastAsia" w:ascii="方正仿宋简体" w:hAnsi="方正仿宋简体" w:eastAsia="方正仿宋简体" w:cs="方正仿宋简体"/>
          <w:b/>
          <w:bCs/>
          <w:color w:val="auto"/>
          <w:sz w:val="32"/>
          <w:szCs w:val="32"/>
          <w:lang w:val="en-US" w:eastAsia="zh-CN"/>
        </w:rPr>
      </w:pPr>
    </w:p>
    <w:p>
      <w:pPr>
        <w:pStyle w:val="2"/>
        <w:jc w:val="center"/>
        <w:rPr>
          <w:rFonts w:hint="eastAsia" w:ascii="方正仿宋简体" w:hAnsi="方正仿宋简体" w:eastAsia="方正仿宋简体" w:cs="方正仿宋简体"/>
          <w:b/>
          <w:bCs/>
          <w:color w:val="auto"/>
          <w:sz w:val="28"/>
          <w:szCs w:val="28"/>
          <w:highlight w:val="none"/>
        </w:rPr>
      </w:pPr>
    </w:p>
    <w:p>
      <w:pPr>
        <w:pStyle w:val="2"/>
        <w:jc w:val="center"/>
        <w:rPr>
          <w:rFonts w:hint="eastAsia" w:ascii="方正仿宋简体" w:hAnsi="方正仿宋简体" w:eastAsia="方正仿宋简体" w:cs="方正仿宋简体"/>
          <w:b/>
          <w:bCs/>
          <w:color w:val="auto"/>
          <w:sz w:val="28"/>
          <w:szCs w:val="28"/>
          <w:highlight w:val="none"/>
        </w:rPr>
      </w:pPr>
    </w:p>
    <w:p>
      <w:pPr>
        <w:pStyle w:val="2"/>
        <w:jc w:val="center"/>
        <w:rPr>
          <w:rFonts w:hint="eastAsia" w:ascii="方正仿宋简体" w:hAnsi="方正仿宋简体" w:eastAsia="方正仿宋简体" w:cs="方正仿宋简体"/>
          <w:b/>
          <w:bCs/>
          <w:color w:val="auto"/>
          <w:sz w:val="28"/>
          <w:szCs w:val="28"/>
          <w:highlight w:val="none"/>
        </w:rPr>
      </w:pPr>
      <w:r>
        <w:rPr>
          <w:rFonts w:hint="eastAsia" w:ascii="方正仿宋简体" w:hAnsi="方正仿宋简体" w:eastAsia="方正仿宋简体" w:cs="方正仿宋简体"/>
          <w:b/>
          <w:bCs/>
          <w:color w:val="auto"/>
          <w:sz w:val="28"/>
          <w:szCs w:val="28"/>
          <w:highlight w:val="none"/>
        </w:rPr>
        <w:t>图1：收、支决算总计变动情况图</w:t>
      </w:r>
    </w:p>
    <w:p>
      <w:pPr>
        <w:pStyle w:val="23"/>
        <w:numPr>
          <w:ilvl w:val="0"/>
          <w:numId w:val="1"/>
        </w:numPr>
        <w:spacing w:line="600" w:lineRule="exact"/>
        <w:ind w:left="1560" w:leftChars="0" w:firstLineChars="0"/>
        <w:outlineLvl w:val="1"/>
        <w:rPr>
          <w:rStyle w:val="25"/>
          <w:rFonts w:hint="eastAsia" w:ascii="方正黑体简体" w:hAnsi="方正黑体简体" w:eastAsia="方正黑体简体" w:cs="方正黑体简体"/>
          <w:b/>
          <w:bCs/>
          <w:color w:val="auto"/>
          <w:highlight w:val="none"/>
        </w:rPr>
      </w:pPr>
      <w:bookmarkStart w:id="24" w:name="_Toc15377206"/>
      <w:bookmarkStart w:id="25" w:name="_Toc15396604"/>
      <w:r>
        <w:rPr>
          <w:rFonts w:hint="eastAsia" w:ascii="方正黑体简体" w:hAnsi="方正黑体简体" w:eastAsia="方正黑体简体" w:cs="方正黑体简体"/>
          <w:b/>
          <w:bCs/>
          <w:color w:val="auto"/>
          <w:sz w:val="32"/>
          <w:szCs w:val="32"/>
          <w:highlight w:val="none"/>
        </w:rPr>
        <w:t>收</w:t>
      </w:r>
      <w:r>
        <w:rPr>
          <w:rStyle w:val="25"/>
          <w:rFonts w:hint="eastAsia" w:ascii="方正黑体简体" w:hAnsi="方正黑体简体" w:eastAsia="方正黑体简体" w:cs="方正黑体简体"/>
          <w:b/>
          <w:bCs/>
          <w:color w:val="auto"/>
          <w:highlight w:val="none"/>
        </w:rPr>
        <w:t>入决算情况说明</w:t>
      </w:r>
      <w:bookmarkEnd w:id="24"/>
      <w:bookmarkEnd w:id="25"/>
    </w:p>
    <w:p>
      <w:pPr>
        <w:spacing w:line="600" w:lineRule="exact"/>
        <w:ind w:firstLine="643" w:firstLineChars="200"/>
        <w:outlineLvl w:val="1"/>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20</w:t>
      </w:r>
      <w:r>
        <w:rPr>
          <w:rFonts w:hint="eastAsia" w:ascii="方正仿宋简体" w:hAnsi="方正仿宋简体" w:eastAsia="方正仿宋简体" w:cs="方正仿宋简体"/>
          <w:b/>
          <w:bCs/>
          <w:color w:val="auto"/>
          <w:sz w:val="32"/>
          <w:szCs w:val="32"/>
          <w:highlight w:val="none"/>
          <w:lang w:val="en-US" w:eastAsia="zh-CN"/>
        </w:rPr>
        <w:t>20</w:t>
      </w:r>
      <w:r>
        <w:rPr>
          <w:rFonts w:hint="eastAsia" w:ascii="方正仿宋简体" w:hAnsi="方正仿宋简体" w:eastAsia="方正仿宋简体" w:cs="方正仿宋简体"/>
          <w:b/>
          <w:bCs/>
          <w:color w:val="auto"/>
          <w:sz w:val="32"/>
          <w:szCs w:val="32"/>
          <w:highlight w:val="none"/>
        </w:rPr>
        <w:t>年本年收入合计</w:t>
      </w:r>
      <w:r>
        <w:rPr>
          <w:rFonts w:hint="eastAsia" w:ascii="方正仿宋简体" w:hAnsi="方正仿宋简体" w:eastAsia="方正仿宋简体" w:cs="方正仿宋简体"/>
          <w:b/>
          <w:bCs/>
          <w:color w:val="auto"/>
          <w:sz w:val="32"/>
          <w:szCs w:val="32"/>
          <w:highlight w:val="none"/>
          <w:lang w:val="en-US" w:eastAsia="zh-CN"/>
        </w:rPr>
        <w:t>13439.02</w:t>
      </w:r>
      <w:r>
        <w:rPr>
          <w:rFonts w:hint="eastAsia" w:ascii="方正仿宋简体" w:hAnsi="方正仿宋简体" w:eastAsia="方正仿宋简体" w:cs="方正仿宋简体"/>
          <w:b/>
          <w:bCs/>
          <w:color w:val="auto"/>
          <w:sz w:val="32"/>
          <w:szCs w:val="32"/>
          <w:highlight w:val="none"/>
        </w:rPr>
        <w:t>万元，其中：一般公共预算财政拨款收入</w:t>
      </w:r>
      <w:r>
        <w:rPr>
          <w:rFonts w:hint="eastAsia" w:ascii="方正仿宋简体" w:hAnsi="方正仿宋简体" w:eastAsia="方正仿宋简体" w:cs="方正仿宋简体"/>
          <w:b/>
          <w:bCs/>
          <w:color w:val="auto"/>
          <w:sz w:val="32"/>
          <w:szCs w:val="32"/>
          <w:highlight w:val="none"/>
          <w:lang w:val="en-US" w:eastAsia="zh-CN"/>
        </w:rPr>
        <w:t>13437.29</w:t>
      </w:r>
      <w:r>
        <w:rPr>
          <w:rFonts w:hint="eastAsia" w:ascii="方正仿宋简体" w:hAnsi="方正仿宋简体" w:eastAsia="方正仿宋简体" w:cs="方正仿宋简体"/>
          <w:b/>
          <w:bCs/>
          <w:color w:val="auto"/>
          <w:sz w:val="32"/>
          <w:szCs w:val="32"/>
          <w:highlight w:val="none"/>
        </w:rPr>
        <w:t>万元，占</w:t>
      </w:r>
      <w:r>
        <w:rPr>
          <w:rFonts w:hint="eastAsia" w:ascii="方正仿宋简体" w:hAnsi="方正仿宋简体" w:eastAsia="方正仿宋简体" w:cs="方正仿宋简体"/>
          <w:b/>
          <w:bCs/>
          <w:color w:val="auto"/>
          <w:sz w:val="32"/>
          <w:szCs w:val="32"/>
          <w:highlight w:val="none"/>
          <w:lang w:val="en-US" w:eastAsia="zh-CN"/>
        </w:rPr>
        <w:t>99.99</w:t>
      </w:r>
      <w:r>
        <w:rPr>
          <w:rFonts w:hint="eastAsia" w:ascii="方正仿宋简体" w:hAnsi="方正仿宋简体" w:eastAsia="方正仿宋简体" w:cs="方正仿宋简体"/>
          <w:b/>
          <w:bCs/>
          <w:color w:val="auto"/>
          <w:sz w:val="32"/>
          <w:szCs w:val="32"/>
          <w:highlight w:val="none"/>
        </w:rPr>
        <w:t>%；政府性基金预算财政拨款收入</w:t>
      </w:r>
      <w:r>
        <w:rPr>
          <w:rFonts w:hint="eastAsia" w:ascii="方正仿宋简体" w:hAnsi="方正仿宋简体" w:eastAsia="方正仿宋简体" w:cs="方正仿宋简体"/>
          <w:b/>
          <w:bCs/>
          <w:color w:val="auto"/>
          <w:sz w:val="32"/>
          <w:szCs w:val="32"/>
          <w:highlight w:val="none"/>
          <w:lang w:val="en-US" w:eastAsia="zh-CN"/>
        </w:rPr>
        <w:t>0</w:t>
      </w:r>
      <w:r>
        <w:rPr>
          <w:rFonts w:hint="eastAsia" w:ascii="方正仿宋简体" w:hAnsi="方正仿宋简体" w:eastAsia="方正仿宋简体" w:cs="方正仿宋简体"/>
          <w:b/>
          <w:bCs/>
          <w:color w:val="auto"/>
          <w:sz w:val="32"/>
          <w:szCs w:val="32"/>
          <w:highlight w:val="none"/>
        </w:rPr>
        <w:t>万元，占</w:t>
      </w:r>
      <w:r>
        <w:rPr>
          <w:rFonts w:hint="eastAsia" w:ascii="方正仿宋简体" w:hAnsi="方正仿宋简体" w:eastAsia="方正仿宋简体" w:cs="方正仿宋简体"/>
          <w:b/>
          <w:bCs/>
          <w:color w:val="auto"/>
          <w:sz w:val="32"/>
          <w:szCs w:val="32"/>
          <w:highlight w:val="none"/>
          <w:lang w:val="en-US" w:eastAsia="zh-CN"/>
        </w:rPr>
        <w:t>0</w:t>
      </w:r>
      <w:r>
        <w:rPr>
          <w:rFonts w:hint="eastAsia" w:ascii="方正仿宋简体" w:hAnsi="方正仿宋简体" w:eastAsia="方正仿宋简体" w:cs="方正仿宋简体"/>
          <w:b/>
          <w:bCs/>
          <w:color w:val="auto"/>
          <w:sz w:val="32"/>
          <w:szCs w:val="32"/>
          <w:highlight w:val="none"/>
        </w:rPr>
        <w:t>%；上级补助收入</w:t>
      </w:r>
      <w:r>
        <w:rPr>
          <w:rFonts w:hint="eastAsia" w:ascii="方正仿宋简体" w:hAnsi="方正仿宋简体" w:eastAsia="方正仿宋简体" w:cs="方正仿宋简体"/>
          <w:b/>
          <w:bCs/>
          <w:color w:val="auto"/>
          <w:sz w:val="32"/>
          <w:szCs w:val="32"/>
          <w:highlight w:val="none"/>
          <w:lang w:val="en-US" w:eastAsia="zh-CN"/>
        </w:rPr>
        <w:t>0</w:t>
      </w:r>
      <w:r>
        <w:rPr>
          <w:rFonts w:hint="eastAsia" w:ascii="方正仿宋简体" w:hAnsi="方正仿宋简体" w:eastAsia="方正仿宋简体" w:cs="方正仿宋简体"/>
          <w:b/>
          <w:bCs/>
          <w:color w:val="auto"/>
          <w:sz w:val="32"/>
          <w:szCs w:val="32"/>
          <w:highlight w:val="none"/>
        </w:rPr>
        <w:t>万元，占</w:t>
      </w:r>
      <w:r>
        <w:rPr>
          <w:rFonts w:hint="eastAsia" w:ascii="方正仿宋简体" w:hAnsi="方正仿宋简体" w:eastAsia="方正仿宋简体" w:cs="方正仿宋简体"/>
          <w:b/>
          <w:bCs/>
          <w:color w:val="auto"/>
          <w:sz w:val="32"/>
          <w:szCs w:val="32"/>
          <w:highlight w:val="none"/>
          <w:lang w:val="en-US" w:eastAsia="zh-CN"/>
        </w:rPr>
        <w:t>0</w:t>
      </w:r>
      <w:r>
        <w:rPr>
          <w:rFonts w:hint="eastAsia" w:ascii="方正仿宋简体" w:hAnsi="方正仿宋简体" w:eastAsia="方正仿宋简体" w:cs="方正仿宋简体"/>
          <w:b/>
          <w:bCs/>
          <w:color w:val="auto"/>
          <w:sz w:val="32"/>
          <w:szCs w:val="32"/>
          <w:highlight w:val="none"/>
        </w:rPr>
        <w:t>%；事业收入</w:t>
      </w:r>
      <w:r>
        <w:rPr>
          <w:rFonts w:hint="eastAsia" w:ascii="方正仿宋简体" w:hAnsi="方正仿宋简体" w:eastAsia="方正仿宋简体" w:cs="方正仿宋简体"/>
          <w:b/>
          <w:bCs/>
          <w:color w:val="auto"/>
          <w:sz w:val="32"/>
          <w:szCs w:val="32"/>
          <w:highlight w:val="none"/>
          <w:lang w:val="en-US" w:eastAsia="zh-CN"/>
        </w:rPr>
        <w:t>0</w:t>
      </w:r>
      <w:r>
        <w:rPr>
          <w:rFonts w:hint="eastAsia" w:ascii="方正仿宋简体" w:hAnsi="方正仿宋简体" w:eastAsia="方正仿宋简体" w:cs="方正仿宋简体"/>
          <w:b/>
          <w:bCs/>
          <w:color w:val="auto"/>
          <w:sz w:val="32"/>
          <w:szCs w:val="32"/>
          <w:highlight w:val="none"/>
        </w:rPr>
        <w:t>万元，占</w:t>
      </w:r>
      <w:r>
        <w:rPr>
          <w:rFonts w:hint="eastAsia" w:ascii="方正仿宋简体" w:hAnsi="方正仿宋简体" w:eastAsia="方正仿宋简体" w:cs="方正仿宋简体"/>
          <w:b/>
          <w:bCs/>
          <w:color w:val="auto"/>
          <w:sz w:val="32"/>
          <w:szCs w:val="32"/>
          <w:highlight w:val="none"/>
          <w:lang w:val="en-US" w:eastAsia="zh-CN"/>
        </w:rPr>
        <w:t>0</w:t>
      </w:r>
      <w:r>
        <w:rPr>
          <w:rFonts w:hint="eastAsia" w:ascii="方正仿宋简体" w:hAnsi="方正仿宋简体" w:eastAsia="方正仿宋简体" w:cs="方正仿宋简体"/>
          <w:b/>
          <w:bCs/>
          <w:color w:val="auto"/>
          <w:sz w:val="32"/>
          <w:szCs w:val="32"/>
          <w:highlight w:val="none"/>
        </w:rPr>
        <w:t>%；经营收入</w:t>
      </w:r>
      <w:r>
        <w:rPr>
          <w:rFonts w:hint="eastAsia" w:ascii="方正仿宋简体" w:hAnsi="方正仿宋简体" w:eastAsia="方正仿宋简体" w:cs="方正仿宋简体"/>
          <w:b/>
          <w:bCs/>
          <w:color w:val="auto"/>
          <w:sz w:val="32"/>
          <w:szCs w:val="32"/>
          <w:highlight w:val="none"/>
          <w:lang w:val="en-US" w:eastAsia="zh-CN"/>
        </w:rPr>
        <w:t>0</w:t>
      </w:r>
      <w:r>
        <w:rPr>
          <w:rFonts w:hint="eastAsia" w:ascii="方正仿宋简体" w:hAnsi="方正仿宋简体" w:eastAsia="方正仿宋简体" w:cs="方正仿宋简体"/>
          <w:b/>
          <w:bCs/>
          <w:color w:val="auto"/>
          <w:sz w:val="32"/>
          <w:szCs w:val="32"/>
          <w:highlight w:val="none"/>
        </w:rPr>
        <w:t>万元，占</w:t>
      </w:r>
      <w:r>
        <w:rPr>
          <w:rFonts w:hint="eastAsia" w:ascii="方正仿宋简体" w:hAnsi="方正仿宋简体" w:eastAsia="方正仿宋简体" w:cs="方正仿宋简体"/>
          <w:b/>
          <w:bCs/>
          <w:color w:val="auto"/>
          <w:sz w:val="32"/>
          <w:szCs w:val="32"/>
          <w:highlight w:val="none"/>
          <w:lang w:val="en-US" w:eastAsia="zh-CN"/>
        </w:rPr>
        <w:t>0</w:t>
      </w:r>
      <w:r>
        <w:rPr>
          <w:rFonts w:hint="eastAsia" w:ascii="方正仿宋简体" w:hAnsi="方正仿宋简体" w:eastAsia="方正仿宋简体" w:cs="方正仿宋简体"/>
          <w:b/>
          <w:bCs/>
          <w:color w:val="auto"/>
          <w:sz w:val="32"/>
          <w:szCs w:val="32"/>
          <w:highlight w:val="none"/>
        </w:rPr>
        <w:t>%；附属单位上缴收入</w:t>
      </w:r>
      <w:r>
        <w:rPr>
          <w:rFonts w:hint="eastAsia" w:ascii="方正仿宋简体" w:hAnsi="方正仿宋简体" w:eastAsia="方正仿宋简体" w:cs="方正仿宋简体"/>
          <w:b/>
          <w:bCs/>
          <w:color w:val="auto"/>
          <w:sz w:val="32"/>
          <w:szCs w:val="32"/>
          <w:highlight w:val="none"/>
          <w:lang w:val="en-US" w:eastAsia="zh-CN"/>
        </w:rPr>
        <w:t>0</w:t>
      </w:r>
      <w:r>
        <w:rPr>
          <w:rFonts w:hint="eastAsia" w:ascii="方正仿宋简体" w:hAnsi="方正仿宋简体" w:eastAsia="方正仿宋简体" w:cs="方正仿宋简体"/>
          <w:b/>
          <w:bCs/>
          <w:color w:val="auto"/>
          <w:sz w:val="32"/>
          <w:szCs w:val="32"/>
          <w:highlight w:val="none"/>
        </w:rPr>
        <w:t>万元，占</w:t>
      </w:r>
      <w:r>
        <w:rPr>
          <w:rFonts w:hint="eastAsia" w:ascii="方正仿宋简体" w:hAnsi="方正仿宋简体" w:eastAsia="方正仿宋简体" w:cs="方正仿宋简体"/>
          <w:b/>
          <w:bCs/>
          <w:color w:val="auto"/>
          <w:sz w:val="32"/>
          <w:szCs w:val="32"/>
          <w:highlight w:val="none"/>
          <w:lang w:val="en-US" w:eastAsia="zh-CN"/>
        </w:rPr>
        <w:t>0</w:t>
      </w:r>
      <w:r>
        <w:rPr>
          <w:rFonts w:hint="eastAsia" w:ascii="方正仿宋简体" w:hAnsi="方正仿宋简体" w:eastAsia="方正仿宋简体" w:cs="方正仿宋简体"/>
          <w:b/>
          <w:bCs/>
          <w:color w:val="auto"/>
          <w:sz w:val="32"/>
          <w:szCs w:val="32"/>
          <w:highlight w:val="none"/>
        </w:rPr>
        <w:t>%；其他收入</w:t>
      </w:r>
      <w:r>
        <w:rPr>
          <w:rFonts w:hint="eastAsia" w:ascii="方正仿宋简体" w:hAnsi="方正仿宋简体" w:eastAsia="方正仿宋简体" w:cs="方正仿宋简体"/>
          <w:b/>
          <w:bCs/>
          <w:color w:val="auto"/>
          <w:sz w:val="32"/>
          <w:szCs w:val="32"/>
          <w:highlight w:val="none"/>
          <w:lang w:val="en-US" w:eastAsia="zh-CN"/>
        </w:rPr>
        <w:t>1.73</w:t>
      </w:r>
      <w:r>
        <w:rPr>
          <w:rFonts w:hint="eastAsia" w:ascii="方正仿宋简体" w:hAnsi="方正仿宋简体" w:eastAsia="方正仿宋简体" w:cs="方正仿宋简体"/>
          <w:b/>
          <w:bCs/>
          <w:color w:val="auto"/>
          <w:sz w:val="32"/>
          <w:szCs w:val="32"/>
          <w:highlight w:val="none"/>
        </w:rPr>
        <w:t>万元，占</w:t>
      </w:r>
      <w:r>
        <w:rPr>
          <w:rFonts w:hint="eastAsia" w:ascii="方正仿宋简体" w:hAnsi="方正仿宋简体" w:eastAsia="方正仿宋简体" w:cs="方正仿宋简体"/>
          <w:b/>
          <w:bCs/>
          <w:color w:val="auto"/>
          <w:sz w:val="32"/>
          <w:szCs w:val="32"/>
          <w:highlight w:val="none"/>
          <w:lang w:val="en-US" w:eastAsia="zh-CN"/>
        </w:rPr>
        <w:t>0.01</w:t>
      </w:r>
      <w:r>
        <w:rPr>
          <w:rFonts w:hint="eastAsia" w:ascii="方正仿宋简体" w:hAnsi="方正仿宋简体" w:eastAsia="方正仿宋简体" w:cs="方正仿宋简体"/>
          <w:b/>
          <w:bCs/>
          <w:color w:val="auto"/>
          <w:sz w:val="32"/>
          <w:szCs w:val="32"/>
          <w:highlight w:val="none"/>
        </w:rPr>
        <w:t>%。</w:t>
      </w:r>
    </w:p>
    <w:p>
      <w:pPr>
        <w:spacing w:line="600" w:lineRule="exact"/>
        <w:ind w:firstLine="422" w:firstLineChars="200"/>
        <w:outlineLvl w:val="1"/>
        <w:rPr>
          <w:rFonts w:ascii="仿宋" w:hAnsi="仿宋" w:eastAsia="仿宋"/>
          <w:b/>
          <w:bCs/>
          <w:color w:val="auto"/>
          <w:sz w:val="32"/>
          <w:szCs w:val="32"/>
          <w:highlight w:val="none"/>
        </w:rPr>
      </w:pPr>
      <w:r>
        <w:rPr>
          <w:b/>
          <w:bCs/>
          <w:color w:val="auto"/>
        </w:rPr>
        <w:drawing>
          <wp:anchor distT="0" distB="0" distL="114300" distR="114300" simplePos="0" relativeHeight="251659264" behindDoc="0" locked="0" layoutInCell="1" allowOverlap="1">
            <wp:simplePos x="0" y="0"/>
            <wp:positionH relativeFrom="column">
              <wp:posOffset>155575</wp:posOffset>
            </wp:positionH>
            <wp:positionV relativeFrom="paragraph">
              <wp:posOffset>159385</wp:posOffset>
            </wp:positionV>
            <wp:extent cx="4572000" cy="2743200"/>
            <wp:effectExtent l="4445" t="4445" r="14605" b="14605"/>
            <wp:wrapSquare wrapText="bothSides"/>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2"/>
        <w:rPr>
          <w:rFonts w:ascii="仿宋" w:hAnsi="仿宋" w:eastAsia="仿宋"/>
          <w:b/>
          <w:bCs/>
          <w:color w:val="auto"/>
          <w:sz w:val="32"/>
          <w:szCs w:val="32"/>
          <w:highlight w:val="none"/>
        </w:rPr>
      </w:pPr>
    </w:p>
    <w:p>
      <w:pPr>
        <w:pStyle w:val="2"/>
        <w:rPr>
          <w:rFonts w:ascii="仿宋" w:hAnsi="仿宋" w:eastAsia="仿宋"/>
          <w:b/>
          <w:bCs/>
          <w:color w:val="auto"/>
          <w:sz w:val="32"/>
          <w:szCs w:val="32"/>
          <w:highlight w:val="none"/>
        </w:rPr>
      </w:pPr>
      <w:r>
        <w:rPr>
          <w:b/>
          <w:bCs/>
          <w:color w:val="auto"/>
          <w:sz w:val="32"/>
        </w:rPr>
        <mc:AlternateContent>
          <mc:Choice Requires="wps">
            <w:drawing>
              <wp:anchor distT="0" distB="0" distL="114300" distR="114300" simplePos="0" relativeHeight="251661312" behindDoc="0" locked="0" layoutInCell="1" allowOverlap="1">
                <wp:simplePos x="0" y="0"/>
                <wp:positionH relativeFrom="column">
                  <wp:posOffset>-2340610</wp:posOffset>
                </wp:positionH>
                <wp:positionV relativeFrom="paragraph">
                  <wp:posOffset>217805</wp:posOffset>
                </wp:positionV>
                <wp:extent cx="664845" cy="284480"/>
                <wp:effectExtent l="0" t="0" r="1905" b="1270"/>
                <wp:wrapNone/>
                <wp:docPr id="5" name="文本框 5"/>
                <wp:cNvGraphicFramePr/>
                <a:graphic xmlns:a="http://schemas.openxmlformats.org/drawingml/2006/main">
                  <a:graphicData uri="http://schemas.microsoft.com/office/word/2010/wordprocessingShape">
                    <wps:wsp>
                      <wps:cNvSpPr txBox="1"/>
                      <wps:spPr>
                        <a:xfrm>
                          <a:off x="0" y="0"/>
                          <a:ext cx="664845" cy="28448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pPr>
                              <w:rPr>
                                <w:rFonts w:hint="default" w:eastAsia="宋体"/>
                                <w:lang w:val="en-US" w:eastAsia="zh-CN"/>
                              </w:rPr>
                            </w:pPr>
                            <w:r>
                              <w:rPr>
                                <w:rFonts w:hint="eastAsia"/>
                                <w:lang w:val="en-US" w:eastAsia="zh-CN"/>
                              </w:rPr>
                              <w:t>0.01%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4.3pt;margin-top:17.15pt;height:22.4pt;width:52.35pt;z-index:251661312;mso-width-relative:page;mso-height-relative:page;" filled="f" stroked="f" coordsize="21600,21600" o:gfxdata="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pzBqT3gAAAAsBAAAPAAAAAAAAAAEAIAAAACIAAABkcnMvZG93bnJldi54bWxQSwECFAAU&#10;AAAACACHTuJAnSOaDV0CAACgBAAADgAAAAAAAAABACAAAAAtAQAAZHJzL2Uyb0RvYy54bWxQSwUG&#10;AAAAAAYABgBZAQAA/AUAAAAA&#10;">
                <v:fill on="f" focussize="0,0"/>
                <v:stroke on="f" weight="2pt"/>
                <v:imagedata o:title=""/>
                <o:lock v:ext="edit" aspectratio="f"/>
                <v:textbox>
                  <w:txbxContent>
                    <w:p>
                      <w:pPr>
                        <w:rPr>
                          <w:rFonts w:hint="default" w:eastAsia="宋体"/>
                          <w:lang w:val="en-US" w:eastAsia="zh-CN"/>
                        </w:rPr>
                      </w:pPr>
                      <w:r>
                        <w:rPr>
                          <w:rFonts w:hint="eastAsia"/>
                          <w:lang w:val="en-US" w:eastAsia="zh-CN"/>
                        </w:rPr>
                        <w:t>0.01%</w:t>
                      </w:r>
                    </w:p>
                  </w:txbxContent>
                </v:textbox>
              </v:shape>
            </w:pict>
          </mc:Fallback>
        </mc:AlternateContent>
      </w:r>
    </w:p>
    <w:p>
      <w:pPr>
        <w:pStyle w:val="2"/>
        <w:rPr>
          <w:rFonts w:ascii="仿宋" w:hAnsi="仿宋" w:eastAsia="仿宋"/>
          <w:b/>
          <w:bCs/>
          <w:color w:val="auto"/>
          <w:sz w:val="32"/>
          <w:szCs w:val="32"/>
          <w:highlight w:val="none"/>
        </w:rPr>
      </w:pPr>
    </w:p>
    <w:p>
      <w:pPr>
        <w:pStyle w:val="2"/>
        <w:rPr>
          <w:rFonts w:ascii="仿宋" w:hAnsi="仿宋" w:eastAsia="仿宋"/>
          <w:b/>
          <w:bCs/>
          <w:color w:val="auto"/>
          <w:sz w:val="32"/>
          <w:szCs w:val="32"/>
          <w:highlight w:val="none"/>
        </w:rPr>
      </w:pPr>
      <w:r>
        <w:rPr>
          <w:b/>
          <w:bCs/>
          <w:color w:val="auto"/>
          <w:sz w:val="32"/>
        </w:rPr>
        <mc:AlternateContent>
          <mc:Choice Requires="wps">
            <w:drawing>
              <wp:anchor distT="0" distB="0" distL="114300" distR="114300" simplePos="0" relativeHeight="251660288" behindDoc="0" locked="0" layoutInCell="1" allowOverlap="1">
                <wp:simplePos x="0" y="0"/>
                <wp:positionH relativeFrom="column">
                  <wp:posOffset>-2747010</wp:posOffset>
                </wp:positionH>
                <wp:positionV relativeFrom="paragraph">
                  <wp:posOffset>62865</wp:posOffset>
                </wp:positionV>
                <wp:extent cx="729615" cy="264160"/>
                <wp:effectExtent l="0" t="0" r="0" b="0"/>
                <wp:wrapNone/>
                <wp:docPr id="3" name="文本框 3"/>
                <wp:cNvGraphicFramePr/>
                <a:graphic xmlns:a="http://schemas.openxmlformats.org/drawingml/2006/main">
                  <a:graphicData uri="http://schemas.microsoft.com/office/word/2010/wordprocessingShape">
                    <wps:wsp>
                      <wps:cNvSpPr txBox="1"/>
                      <wps:spPr>
                        <a:xfrm>
                          <a:off x="3390265" y="4112895"/>
                          <a:ext cx="729615" cy="2641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99.99%</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6.3pt;margin-top:4.95pt;height:20.8pt;width:57.45pt;z-index:251660288;mso-width-relative:page;mso-height-relative:page;" filled="f" stroked="f" coordsize="21600,21600" o:gfxdata="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cgjb3AAAAAoBAAAPAAAA&#10;AAAAAAEAIAAAACIAAABkcnMvZG93bnJldi54bWxQSwECFAAUAAAACACHTuJA4z2wS0oCAABxBAAA&#10;DgAAAAAAAAABACAAAAArAQAAZHJzL2Uyb0RvYy54bWxQSwUGAAAAAAYABgBZAQAA5wUAAAAA&#10;">
                <v:fill on="f" focussize="0,0"/>
                <v:stroke on="f" weight="0.5pt"/>
                <v:imagedata o:title=""/>
                <o:lock v:ext="edit" aspectratio="f"/>
                <v:textbox>
                  <w:txbxContent>
                    <w:p>
                      <w:pPr>
                        <w:rPr>
                          <w:rFonts w:hint="default" w:eastAsia="宋体"/>
                          <w:lang w:val="en-US" w:eastAsia="zh-CN"/>
                        </w:rPr>
                      </w:pPr>
                      <w:r>
                        <w:rPr>
                          <w:rFonts w:hint="eastAsia"/>
                          <w:lang w:val="en-US" w:eastAsia="zh-CN"/>
                        </w:rPr>
                        <w:t>99.99%</w:t>
                      </w:r>
                    </w:p>
                  </w:txbxContent>
                </v:textbox>
              </v:shape>
            </w:pict>
          </mc:Fallback>
        </mc:AlternateContent>
      </w:r>
    </w:p>
    <w:p>
      <w:pPr>
        <w:pStyle w:val="2"/>
        <w:rPr>
          <w:rFonts w:ascii="仿宋" w:hAnsi="仿宋" w:eastAsia="仿宋"/>
          <w:b/>
          <w:bCs/>
          <w:color w:val="auto"/>
          <w:sz w:val="32"/>
          <w:szCs w:val="32"/>
          <w:highlight w:val="none"/>
        </w:rPr>
      </w:pPr>
    </w:p>
    <w:p>
      <w:pPr>
        <w:spacing w:line="600" w:lineRule="exact"/>
        <w:ind w:firstLine="643" w:firstLineChars="200"/>
        <w:jc w:val="center"/>
        <w:outlineLvl w:val="1"/>
        <w:rPr>
          <w:rFonts w:hint="eastAsia" w:ascii="方正仿宋简体" w:hAnsi="方正仿宋简体" w:eastAsia="方正仿宋简体" w:cs="方正仿宋简体"/>
          <w:b/>
          <w:bCs/>
          <w:color w:val="auto"/>
          <w:sz w:val="32"/>
          <w:szCs w:val="32"/>
          <w:highlight w:val="none"/>
        </w:rPr>
      </w:pPr>
    </w:p>
    <w:p>
      <w:pPr>
        <w:pStyle w:val="2"/>
        <w:jc w:val="center"/>
        <w:rPr>
          <w:rFonts w:hint="eastAsia" w:ascii="方正仿宋简体" w:hAnsi="方正仿宋简体" w:eastAsia="方正仿宋简体" w:cs="方正仿宋简体"/>
          <w:b/>
          <w:bCs/>
          <w:color w:val="auto"/>
          <w:sz w:val="28"/>
          <w:szCs w:val="28"/>
          <w:highlight w:val="none"/>
        </w:rPr>
      </w:pPr>
      <w:r>
        <w:rPr>
          <w:rFonts w:hint="eastAsia" w:ascii="方正仿宋简体" w:hAnsi="方正仿宋简体" w:eastAsia="方正仿宋简体" w:cs="方正仿宋简体"/>
          <w:b/>
          <w:bCs/>
          <w:color w:val="auto"/>
          <w:sz w:val="28"/>
          <w:szCs w:val="28"/>
          <w:highlight w:val="none"/>
        </w:rPr>
        <w:t>图2：收入决算结构图</w:t>
      </w:r>
    </w:p>
    <w:p>
      <w:pPr>
        <w:pStyle w:val="23"/>
        <w:numPr>
          <w:ilvl w:val="0"/>
          <w:numId w:val="1"/>
        </w:numPr>
        <w:spacing w:line="600" w:lineRule="exact"/>
        <w:ind w:left="1560" w:leftChars="0" w:firstLineChars="0"/>
        <w:outlineLvl w:val="1"/>
        <w:rPr>
          <w:rStyle w:val="25"/>
          <w:rFonts w:hint="eastAsia" w:ascii="方正黑体简体" w:hAnsi="方正黑体简体" w:eastAsia="方正黑体简体" w:cs="方正黑体简体"/>
          <w:b/>
          <w:bCs/>
          <w:color w:val="auto"/>
          <w:highlight w:val="none"/>
        </w:rPr>
      </w:pPr>
      <w:bookmarkStart w:id="26" w:name="_Toc15377207"/>
      <w:bookmarkStart w:id="27" w:name="_Toc15396605"/>
      <w:r>
        <w:rPr>
          <w:rFonts w:hint="eastAsia" w:ascii="方正黑体简体" w:hAnsi="方正黑体简体" w:eastAsia="方正黑体简体" w:cs="方正黑体简体"/>
          <w:b/>
          <w:bCs/>
          <w:color w:val="auto"/>
          <w:sz w:val="32"/>
          <w:szCs w:val="32"/>
          <w:highlight w:val="none"/>
        </w:rPr>
        <w:t>支</w:t>
      </w:r>
      <w:r>
        <w:rPr>
          <w:rStyle w:val="25"/>
          <w:rFonts w:hint="eastAsia" w:ascii="方正黑体简体" w:hAnsi="方正黑体简体" w:eastAsia="方正黑体简体" w:cs="方正黑体简体"/>
          <w:b/>
          <w:bCs/>
          <w:color w:val="auto"/>
          <w:highlight w:val="none"/>
        </w:rPr>
        <w:t>出决算情况说明</w:t>
      </w:r>
      <w:bookmarkEnd w:id="26"/>
      <w:bookmarkEnd w:id="27"/>
    </w:p>
    <w:p>
      <w:pPr>
        <w:spacing w:line="600" w:lineRule="exact"/>
        <w:ind w:firstLine="643" w:firstLineChars="200"/>
        <w:outlineLvl w:val="1"/>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20</w:t>
      </w:r>
      <w:r>
        <w:rPr>
          <w:rFonts w:hint="eastAsia" w:ascii="方正仿宋简体" w:hAnsi="方正仿宋简体" w:eastAsia="方正仿宋简体" w:cs="方正仿宋简体"/>
          <w:b/>
          <w:bCs/>
          <w:color w:val="auto"/>
          <w:sz w:val="32"/>
          <w:szCs w:val="32"/>
          <w:highlight w:val="none"/>
          <w:lang w:val="en-US" w:eastAsia="zh-CN"/>
        </w:rPr>
        <w:t>20</w:t>
      </w:r>
      <w:r>
        <w:rPr>
          <w:rFonts w:hint="eastAsia" w:ascii="方正仿宋简体" w:hAnsi="方正仿宋简体" w:eastAsia="方正仿宋简体" w:cs="方正仿宋简体"/>
          <w:b/>
          <w:bCs/>
          <w:color w:val="auto"/>
          <w:sz w:val="32"/>
          <w:szCs w:val="32"/>
          <w:highlight w:val="none"/>
        </w:rPr>
        <w:t>年本年支出合计</w:t>
      </w:r>
      <w:r>
        <w:rPr>
          <w:rFonts w:hint="eastAsia" w:ascii="方正仿宋简体" w:hAnsi="方正仿宋简体" w:eastAsia="方正仿宋简体" w:cs="方正仿宋简体"/>
          <w:b/>
          <w:bCs/>
          <w:color w:val="auto"/>
          <w:sz w:val="32"/>
          <w:szCs w:val="32"/>
          <w:highlight w:val="none"/>
          <w:lang w:val="en-US" w:eastAsia="zh-CN"/>
        </w:rPr>
        <w:t>14553.39</w:t>
      </w:r>
      <w:r>
        <w:rPr>
          <w:rFonts w:hint="eastAsia" w:ascii="方正仿宋简体" w:hAnsi="方正仿宋简体" w:eastAsia="方正仿宋简体" w:cs="方正仿宋简体"/>
          <w:b/>
          <w:bCs/>
          <w:color w:val="auto"/>
          <w:sz w:val="32"/>
          <w:szCs w:val="32"/>
          <w:highlight w:val="none"/>
        </w:rPr>
        <w:t>万元，其中：基本支出</w:t>
      </w:r>
      <w:r>
        <w:rPr>
          <w:rFonts w:hint="eastAsia" w:ascii="方正仿宋简体" w:hAnsi="方正仿宋简体" w:eastAsia="方正仿宋简体" w:cs="方正仿宋简体"/>
          <w:b/>
          <w:bCs/>
          <w:color w:val="auto"/>
          <w:sz w:val="32"/>
          <w:szCs w:val="32"/>
          <w:highlight w:val="none"/>
          <w:lang w:val="en-US" w:eastAsia="zh-CN"/>
        </w:rPr>
        <w:t>7485.18</w:t>
      </w:r>
      <w:r>
        <w:rPr>
          <w:rFonts w:hint="eastAsia" w:ascii="方正仿宋简体" w:hAnsi="方正仿宋简体" w:eastAsia="方正仿宋简体" w:cs="方正仿宋简体"/>
          <w:b/>
          <w:bCs/>
          <w:color w:val="auto"/>
          <w:sz w:val="32"/>
          <w:szCs w:val="32"/>
          <w:highlight w:val="none"/>
        </w:rPr>
        <w:t>万元，占</w:t>
      </w:r>
      <w:r>
        <w:rPr>
          <w:rFonts w:hint="eastAsia" w:ascii="方正仿宋简体" w:hAnsi="方正仿宋简体" w:eastAsia="方正仿宋简体" w:cs="方正仿宋简体"/>
          <w:b/>
          <w:bCs/>
          <w:color w:val="auto"/>
          <w:sz w:val="32"/>
          <w:szCs w:val="32"/>
          <w:highlight w:val="none"/>
          <w:lang w:val="en-US" w:eastAsia="zh-CN"/>
        </w:rPr>
        <w:t>51.43</w:t>
      </w:r>
      <w:r>
        <w:rPr>
          <w:rFonts w:hint="eastAsia" w:ascii="方正仿宋简体" w:hAnsi="方正仿宋简体" w:eastAsia="方正仿宋简体" w:cs="方正仿宋简体"/>
          <w:b/>
          <w:bCs/>
          <w:color w:val="auto"/>
          <w:sz w:val="32"/>
          <w:szCs w:val="32"/>
          <w:highlight w:val="none"/>
        </w:rPr>
        <w:t>%；项目支出</w:t>
      </w:r>
      <w:r>
        <w:rPr>
          <w:rFonts w:hint="eastAsia" w:ascii="方正仿宋简体" w:hAnsi="方正仿宋简体" w:eastAsia="方正仿宋简体" w:cs="方正仿宋简体"/>
          <w:b/>
          <w:bCs/>
          <w:color w:val="auto"/>
          <w:sz w:val="32"/>
          <w:szCs w:val="32"/>
          <w:highlight w:val="none"/>
          <w:lang w:val="en-US" w:eastAsia="zh-CN"/>
        </w:rPr>
        <w:t>7068.21</w:t>
      </w:r>
      <w:r>
        <w:rPr>
          <w:rFonts w:hint="eastAsia" w:ascii="方正仿宋简体" w:hAnsi="方正仿宋简体" w:eastAsia="方正仿宋简体" w:cs="方正仿宋简体"/>
          <w:b/>
          <w:bCs/>
          <w:color w:val="auto"/>
          <w:sz w:val="32"/>
          <w:szCs w:val="32"/>
          <w:highlight w:val="none"/>
        </w:rPr>
        <w:t>万元，占</w:t>
      </w:r>
      <w:r>
        <w:rPr>
          <w:rFonts w:hint="eastAsia" w:ascii="方正仿宋简体" w:hAnsi="方正仿宋简体" w:eastAsia="方正仿宋简体" w:cs="方正仿宋简体"/>
          <w:b/>
          <w:bCs/>
          <w:color w:val="auto"/>
          <w:sz w:val="32"/>
          <w:szCs w:val="32"/>
          <w:highlight w:val="none"/>
          <w:lang w:val="en-US" w:eastAsia="zh-CN"/>
        </w:rPr>
        <w:t>48.57</w:t>
      </w:r>
      <w:r>
        <w:rPr>
          <w:rFonts w:hint="eastAsia" w:ascii="方正仿宋简体" w:hAnsi="方正仿宋简体" w:eastAsia="方正仿宋简体" w:cs="方正仿宋简体"/>
          <w:b/>
          <w:bCs/>
          <w:color w:val="auto"/>
          <w:sz w:val="32"/>
          <w:szCs w:val="32"/>
          <w:highlight w:val="none"/>
        </w:rPr>
        <w:t>%；上缴上级支出</w:t>
      </w:r>
      <w:r>
        <w:rPr>
          <w:rFonts w:hint="eastAsia" w:ascii="方正仿宋简体" w:hAnsi="方正仿宋简体" w:eastAsia="方正仿宋简体" w:cs="方正仿宋简体"/>
          <w:b/>
          <w:bCs/>
          <w:color w:val="auto"/>
          <w:sz w:val="32"/>
          <w:szCs w:val="32"/>
          <w:highlight w:val="none"/>
          <w:lang w:val="en-US" w:eastAsia="zh-CN"/>
        </w:rPr>
        <w:t>0</w:t>
      </w:r>
      <w:r>
        <w:rPr>
          <w:rFonts w:hint="eastAsia" w:ascii="方正仿宋简体" w:hAnsi="方正仿宋简体" w:eastAsia="方正仿宋简体" w:cs="方正仿宋简体"/>
          <w:b/>
          <w:bCs/>
          <w:color w:val="auto"/>
          <w:sz w:val="32"/>
          <w:szCs w:val="32"/>
          <w:highlight w:val="none"/>
        </w:rPr>
        <w:t>万元，占</w:t>
      </w:r>
      <w:r>
        <w:rPr>
          <w:rFonts w:hint="eastAsia" w:ascii="方正仿宋简体" w:hAnsi="方正仿宋简体" w:eastAsia="方正仿宋简体" w:cs="方正仿宋简体"/>
          <w:b/>
          <w:bCs/>
          <w:color w:val="auto"/>
          <w:sz w:val="32"/>
          <w:szCs w:val="32"/>
          <w:highlight w:val="none"/>
          <w:lang w:val="en-US" w:eastAsia="zh-CN"/>
        </w:rPr>
        <w:t>0</w:t>
      </w:r>
      <w:r>
        <w:rPr>
          <w:rFonts w:hint="eastAsia" w:ascii="方正仿宋简体" w:hAnsi="方正仿宋简体" w:eastAsia="方正仿宋简体" w:cs="方正仿宋简体"/>
          <w:b/>
          <w:bCs/>
          <w:color w:val="auto"/>
          <w:sz w:val="32"/>
          <w:szCs w:val="32"/>
          <w:highlight w:val="none"/>
        </w:rPr>
        <w:t>%；经营支出</w:t>
      </w:r>
      <w:r>
        <w:rPr>
          <w:rFonts w:hint="eastAsia" w:ascii="方正仿宋简体" w:hAnsi="方正仿宋简体" w:eastAsia="方正仿宋简体" w:cs="方正仿宋简体"/>
          <w:b/>
          <w:bCs/>
          <w:color w:val="auto"/>
          <w:sz w:val="32"/>
          <w:szCs w:val="32"/>
          <w:highlight w:val="none"/>
          <w:lang w:val="en-US" w:eastAsia="zh-CN"/>
        </w:rPr>
        <w:t>0</w:t>
      </w:r>
      <w:r>
        <w:rPr>
          <w:rFonts w:hint="eastAsia" w:ascii="方正仿宋简体" w:hAnsi="方正仿宋简体" w:eastAsia="方正仿宋简体" w:cs="方正仿宋简体"/>
          <w:b/>
          <w:bCs/>
          <w:color w:val="auto"/>
          <w:sz w:val="32"/>
          <w:szCs w:val="32"/>
          <w:highlight w:val="none"/>
        </w:rPr>
        <w:t>万元，占</w:t>
      </w:r>
      <w:r>
        <w:rPr>
          <w:rFonts w:hint="eastAsia" w:ascii="方正仿宋简体" w:hAnsi="方正仿宋简体" w:eastAsia="方正仿宋简体" w:cs="方正仿宋简体"/>
          <w:b/>
          <w:bCs/>
          <w:color w:val="auto"/>
          <w:sz w:val="32"/>
          <w:szCs w:val="32"/>
          <w:highlight w:val="none"/>
          <w:lang w:val="en-US" w:eastAsia="zh-CN"/>
        </w:rPr>
        <w:t>0</w:t>
      </w:r>
      <w:r>
        <w:rPr>
          <w:rFonts w:hint="eastAsia" w:ascii="方正仿宋简体" w:hAnsi="方正仿宋简体" w:eastAsia="方正仿宋简体" w:cs="方正仿宋简体"/>
          <w:b/>
          <w:bCs/>
          <w:color w:val="auto"/>
          <w:sz w:val="32"/>
          <w:szCs w:val="32"/>
          <w:highlight w:val="none"/>
        </w:rPr>
        <w:t>%；对附属单位补助支出</w:t>
      </w:r>
      <w:r>
        <w:rPr>
          <w:rFonts w:hint="eastAsia" w:ascii="方正仿宋简体" w:hAnsi="方正仿宋简体" w:eastAsia="方正仿宋简体" w:cs="方正仿宋简体"/>
          <w:b/>
          <w:bCs/>
          <w:color w:val="auto"/>
          <w:sz w:val="32"/>
          <w:szCs w:val="32"/>
          <w:highlight w:val="none"/>
          <w:lang w:val="en-US" w:eastAsia="zh-CN"/>
        </w:rPr>
        <w:t>0</w:t>
      </w:r>
      <w:r>
        <w:rPr>
          <w:rFonts w:hint="eastAsia" w:ascii="方正仿宋简体" w:hAnsi="方正仿宋简体" w:eastAsia="方正仿宋简体" w:cs="方正仿宋简体"/>
          <w:b/>
          <w:bCs/>
          <w:color w:val="auto"/>
          <w:sz w:val="32"/>
          <w:szCs w:val="32"/>
          <w:highlight w:val="none"/>
        </w:rPr>
        <w:t>万元，占</w:t>
      </w:r>
      <w:r>
        <w:rPr>
          <w:rFonts w:hint="eastAsia" w:ascii="方正仿宋简体" w:hAnsi="方正仿宋简体" w:eastAsia="方正仿宋简体" w:cs="方正仿宋简体"/>
          <w:b/>
          <w:bCs/>
          <w:color w:val="auto"/>
          <w:sz w:val="32"/>
          <w:szCs w:val="32"/>
          <w:highlight w:val="none"/>
          <w:lang w:val="en-US" w:eastAsia="zh-CN"/>
        </w:rPr>
        <w:t>0</w:t>
      </w:r>
      <w:r>
        <w:rPr>
          <w:rFonts w:hint="eastAsia" w:ascii="方正仿宋简体" w:hAnsi="方正仿宋简体" w:eastAsia="方正仿宋简体" w:cs="方正仿宋简体"/>
          <w:b/>
          <w:bCs/>
          <w:color w:val="auto"/>
          <w:sz w:val="32"/>
          <w:szCs w:val="32"/>
          <w:highlight w:val="none"/>
        </w:rPr>
        <w:t>%。</w:t>
      </w:r>
    </w:p>
    <w:p>
      <w:pPr>
        <w:spacing w:line="600" w:lineRule="exact"/>
        <w:ind w:firstLine="643" w:firstLineChars="200"/>
        <w:rPr>
          <w:rFonts w:hint="eastAsia" w:ascii="仿宋" w:hAnsi="仿宋" w:eastAsia="仿宋"/>
          <w:b/>
          <w:bCs/>
          <w:color w:val="auto"/>
          <w:sz w:val="32"/>
          <w:szCs w:val="32"/>
          <w:highlight w:val="none"/>
        </w:rPr>
      </w:pPr>
      <w:r>
        <w:rPr>
          <w:rFonts w:hint="eastAsia" w:ascii="方正仿宋简体" w:hAnsi="方正仿宋简体" w:eastAsia="方正仿宋简体" w:cs="方正仿宋简体"/>
          <w:b/>
          <w:bCs/>
          <w:color w:val="auto"/>
          <w:sz w:val="32"/>
          <w:szCs w:val="32"/>
        </w:rPr>
        <w:drawing>
          <wp:anchor distT="0" distB="0" distL="114300" distR="114300" simplePos="0" relativeHeight="251662336" behindDoc="0" locked="0" layoutInCell="1" allowOverlap="1">
            <wp:simplePos x="0" y="0"/>
            <wp:positionH relativeFrom="column">
              <wp:posOffset>501650</wp:posOffset>
            </wp:positionH>
            <wp:positionV relativeFrom="paragraph">
              <wp:posOffset>115570</wp:posOffset>
            </wp:positionV>
            <wp:extent cx="4424045" cy="2146300"/>
            <wp:effectExtent l="4445" t="4445" r="10160" b="20955"/>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3" w:firstLineChars="200"/>
        <w:rPr>
          <w:rFonts w:hint="eastAsia" w:ascii="仿宋" w:hAnsi="仿宋" w:eastAsia="仿宋"/>
          <w:b/>
          <w:bCs/>
          <w:color w:val="auto"/>
          <w:sz w:val="32"/>
          <w:szCs w:val="32"/>
          <w:highlight w:val="none"/>
        </w:rPr>
      </w:pPr>
    </w:p>
    <w:p>
      <w:pPr>
        <w:spacing w:line="600" w:lineRule="exact"/>
        <w:ind w:firstLine="643" w:firstLineChars="200"/>
        <w:rPr>
          <w:rFonts w:hint="eastAsia" w:ascii="仿宋" w:hAnsi="仿宋" w:eastAsia="仿宋"/>
          <w:b/>
          <w:bCs/>
          <w:color w:val="auto"/>
          <w:sz w:val="32"/>
          <w:szCs w:val="32"/>
          <w:highlight w:val="none"/>
        </w:rPr>
      </w:pPr>
    </w:p>
    <w:p>
      <w:pPr>
        <w:spacing w:line="600" w:lineRule="exact"/>
        <w:ind w:firstLine="643" w:firstLineChars="200"/>
        <w:rPr>
          <w:rFonts w:hint="eastAsia" w:ascii="仿宋" w:hAnsi="仿宋" w:eastAsia="仿宋"/>
          <w:b/>
          <w:bCs/>
          <w:color w:val="auto"/>
          <w:sz w:val="32"/>
          <w:szCs w:val="32"/>
          <w:highlight w:val="none"/>
        </w:rPr>
      </w:pPr>
    </w:p>
    <w:p>
      <w:pPr>
        <w:spacing w:line="600" w:lineRule="exact"/>
        <w:ind w:firstLine="643" w:firstLineChars="200"/>
        <w:rPr>
          <w:rFonts w:hint="eastAsia" w:ascii="仿宋" w:hAnsi="仿宋" w:eastAsia="仿宋"/>
          <w:b/>
          <w:bCs/>
          <w:color w:val="auto"/>
          <w:sz w:val="32"/>
          <w:szCs w:val="32"/>
          <w:highlight w:val="none"/>
        </w:rPr>
      </w:pPr>
    </w:p>
    <w:p>
      <w:pPr>
        <w:spacing w:line="600" w:lineRule="exact"/>
        <w:ind w:firstLine="643" w:firstLineChars="200"/>
        <w:rPr>
          <w:rFonts w:hint="eastAsia" w:ascii="仿宋" w:hAnsi="仿宋" w:eastAsia="仿宋"/>
          <w:b/>
          <w:bCs/>
          <w:color w:val="auto"/>
          <w:sz w:val="32"/>
          <w:szCs w:val="32"/>
          <w:highlight w:val="none"/>
        </w:rPr>
      </w:pPr>
    </w:p>
    <w:p>
      <w:pPr>
        <w:pStyle w:val="2"/>
        <w:jc w:val="center"/>
        <w:rPr>
          <w:rFonts w:hint="eastAsia" w:ascii="方正仿宋简体" w:hAnsi="方正仿宋简体" w:eastAsia="方正仿宋简体" w:cs="方正仿宋简体"/>
          <w:b/>
          <w:bCs/>
          <w:color w:val="auto"/>
          <w:sz w:val="28"/>
          <w:szCs w:val="28"/>
          <w:highlight w:val="none"/>
        </w:rPr>
      </w:pPr>
      <w:r>
        <w:rPr>
          <w:rFonts w:hint="eastAsia" w:ascii="方正仿宋简体" w:hAnsi="方正仿宋简体" w:eastAsia="方正仿宋简体" w:cs="方正仿宋简体"/>
          <w:b/>
          <w:bCs/>
          <w:color w:val="auto"/>
          <w:sz w:val="28"/>
          <w:szCs w:val="28"/>
          <w:highlight w:val="none"/>
        </w:rPr>
        <w:t>图3：支出决算结构图</w:t>
      </w:r>
    </w:p>
    <w:p>
      <w:pPr>
        <w:spacing w:line="600" w:lineRule="exact"/>
        <w:ind w:firstLine="643" w:firstLineChars="200"/>
        <w:outlineLvl w:val="1"/>
        <w:rPr>
          <w:rStyle w:val="25"/>
          <w:rFonts w:hint="eastAsia" w:ascii="方正黑体简体" w:hAnsi="方正黑体简体" w:eastAsia="方正黑体简体" w:cs="方正黑体简体"/>
          <w:b/>
          <w:bCs/>
          <w:color w:val="auto"/>
          <w:highlight w:val="none"/>
        </w:rPr>
      </w:pPr>
      <w:bookmarkStart w:id="28" w:name="_Toc15377208"/>
      <w:bookmarkStart w:id="29" w:name="_Toc15396606"/>
      <w:r>
        <w:rPr>
          <w:rFonts w:hint="eastAsia" w:ascii="方正黑体简体" w:hAnsi="方正黑体简体" w:eastAsia="方正黑体简体" w:cs="方正黑体简体"/>
          <w:b/>
          <w:bCs/>
          <w:color w:val="auto"/>
          <w:sz w:val="32"/>
          <w:szCs w:val="32"/>
          <w:highlight w:val="none"/>
        </w:rPr>
        <w:t>四、财</w:t>
      </w:r>
      <w:r>
        <w:rPr>
          <w:rStyle w:val="25"/>
          <w:rFonts w:hint="eastAsia" w:ascii="方正黑体简体" w:hAnsi="方正黑体简体" w:eastAsia="方正黑体简体" w:cs="方正黑体简体"/>
          <w:b/>
          <w:bCs/>
          <w:color w:val="auto"/>
          <w:highlight w:val="none"/>
        </w:rPr>
        <w:t>政拨款收入支出决算总体情况说明</w:t>
      </w:r>
      <w:bookmarkEnd w:id="28"/>
      <w:bookmarkEnd w:id="29"/>
    </w:p>
    <w:p>
      <w:pPr>
        <w:spacing w:line="600" w:lineRule="exact"/>
        <w:ind w:firstLine="64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20</w:t>
      </w:r>
      <w:r>
        <w:rPr>
          <w:rFonts w:hint="eastAsia" w:ascii="方正仿宋简体" w:hAnsi="方正仿宋简体" w:eastAsia="方正仿宋简体" w:cs="方正仿宋简体"/>
          <w:b/>
          <w:bCs/>
          <w:color w:val="auto"/>
          <w:sz w:val="32"/>
          <w:szCs w:val="32"/>
          <w:highlight w:val="none"/>
          <w:lang w:val="en-US" w:eastAsia="zh-CN"/>
        </w:rPr>
        <w:t>20</w:t>
      </w:r>
      <w:r>
        <w:rPr>
          <w:rFonts w:hint="eastAsia" w:ascii="方正仿宋简体" w:hAnsi="方正仿宋简体" w:eastAsia="方正仿宋简体" w:cs="方正仿宋简体"/>
          <w:b/>
          <w:bCs/>
          <w:color w:val="auto"/>
          <w:sz w:val="32"/>
          <w:szCs w:val="32"/>
          <w:highlight w:val="none"/>
        </w:rPr>
        <w:t>年财政拨款收、支总计</w:t>
      </w:r>
      <w:r>
        <w:rPr>
          <w:rFonts w:hint="eastAsia" w:ascii="方正仿宋简体" w:hAnsi="方正仿宋简体" w:eastAsia="方正仿宋简体" w:cs="方正仿宋简体"/>
          <w:b/>
          <w:bCs/>
          <w:color w:val="auto"/>
          <w:sz w:val="32"/>
          <w:szCs w:val="32"/>
          <w:highlight w:val="none"/>
          <w:lang w:val="en-US" w:eastAsia="zh-CN"/>
        </w:rPr>
        <w:t>13437.29</w:t>
      </w:r>
      <w:r>
        <w:rPr>
          <w:rFonts w:hint="eastAsia" w:ascii="方正仿宋简体" w:hAnsi="方正仿宋简体" w:eastAsia="方正仿宋简体" w:cs="方正仿宋简体"/>
          <w:b/>
          <w:bCs/>
          <w:color w:val="auto"/>
          <w:sz w:val="32"/>
          <w:szCs w:val="32"/>
          <w:highlight w:val="none"/>
        </w:rPr>
        <w:t>万元。与201</w:t>
      </w:r>
      <w:r>
        <w:rPr>
          <w:rFonts w:hint="eastAsia" w:ascii="方正仿宋简体" w:hAnsi="方正仿宋简体" w:eastAsia="方正仿宋简体" w:cs="方正仿宋简体"/>
          <w:b/>
          <w:bCs/>
          <w:color w:val="auto"/>
          <w:sz w:val="32"/>
          <w:szCs w:val="32"/>
          <w:highlight w:val="none"/>
          <w:lang w:val="en-US" w:eastAsia="zh-CN"/>
        </w:rPr>
        <w:t>9</w:t>
      </w:r>
      <w:r>
        <w:rPr>
          <w:rFonts w:hint="eastAsia" w:ascii="方正仿宋简体" w:hAnsi="方正仿宋简体" w:eastAsia="方正仿宋简体" w:cs="方正仿宋简体"/>
          <w:b/>
          <w:bCs/>
          <w:color w:val="auto"/>
          <w:sz w:val="32"/>
          <w:szCs w:val="32"/>
          <w:highlight w:val="none"/>
        </w:rPr>
        <w:t>年相比，财政拨款收、支总计各减少</w:t>
      </w:r>
      <w:r>
        <w:rPr>
          <w:rFonts w:hint="eastAsia" w:ascii="方正仿宋简体" w:hAnsi="方正仿宋简体" w:eastAsia="方正仿宋简体" w:cs="方正仿宋简体"/>
          <w:b/>
          <w:bCs/>
          <w:color w:val="auto"/>
          <w:sz w:val="32"/>
          <w:szCs w:val="32"/>
          <w:highlight w:val="none"/>
          <w:lang w:val="en-US" w:eastAsia="zh-CN"/>
        </w:rPr>
        <w:t>1137.83</w:t>
      </w:r>
      <w:r>
        <w:rPr>
          <w:rFonts w:hint="eastAsia" w:ascii="方正仿宋简体" w:hAnsi="方正仿宋简体" w:eastAsia="方正仿宋简体" w:cs="方正仿宋简体"/>
          <w:b/>
          <w:bCs/>
          <w:color w:val="auto"/>
          <w:sz w:val="32"/>
          <w:szCs w:val="32"/>
          <w:highlight w:val="none"/>
        </w:rPr>
        <w:t>万元，下降</w:t>
      </w:r>
      <w:r>
        <w:rPr>
          <w:rFonts w:hint="eastAsia" w:ascii="方正仿宋简体" w:hAnsi="方正仿宋简体" w:eastAsia="方正仿宋简体" w:cs="方正仿宋简体"/>
          <w:b/>
          <w:bCs/>
          <w:color w:val="auto"/>
          <w:sz w:val="32"/>
          <w:szCs w:val="32"/>
          <w:highlight w:val="none"/>
          <w:lang w:val="en-US" w:eastAsia="zh-CN"/>
        </w:rPr>
        <w:t>7.81</w:t>
      </w:r>
      <w:r>
        <w:rPr>
          <w:rFonts w:hint="eastAsia" w:ascii="方正仿宋简体" w:hAnsi="方正仿宋简体" w:eastAsia="方正仿宋简体" w:cs="方正仿宋简体"/>
          <w:b/>
          <w:bCs/>
          <w:color w:val="auto"/>
          <w:sz w:val="32"/>
          <w:szCs w:val="32"/>
          <w:highlight w:val="none"/>
        </w:rPr>
        <w:t>%。主要变动原因是</w:t>
      </w:r>
      <w:r>
        <w:rPr>
          <w:rFonts w:hint="eastAsia" w:ascii="方正仿宋简体" w:hAnsi="方正仿宋简体" w:eastAsia="方正仿宋简体" w:cs="方正仿宋简体"/>
          <w:b/>
          <w:bCs/>
          <w:color w:val="auto"/>
          <w:sz w:val="32"/>
          <w:szCs w:val="32"/>
          <w:highlight w:val="none"/>
          <w:lang w:val="en-US" w:eastAsia="zh-CN"/>
        </w:rPr>
        <w:t>一次性项目经费减少。</w:t>
      </w:r>
    </w:p>
    <w:p>
      <w:pPr>
        <w:spacing w:line="600" w:lineRule="exact"/>
        <w:rPr>
          <w:rFonts w:ascii="仿宋" w:hAnsi="仿宋" w:eastAsia="仿宋"/>
          <w:b/>
          <w:bCs/>
          <w:color w:val="auto"/>
          <w:sz w:val="32"/>
          <w:szCs w:val="32"/>
          <w:highlight w:val="none"/>
        </w:rPr>
      </w:pPr>
      <w:r>
        <w:rPr>
          <w:sz w:val="21"/>
        </w:rPr>
        <mc:AlternateContent>
          <mc:Choice Requires="wps">
            <w:drawing>
              <wp:anchor distT="0" distB="0" distL="114300" distR="114300" simplePos="0" relativeHeight="251674624" behindDoc="0" locked="0" layoutInCell="1" allowOverlap="1">
                <wp:simplePos x="0" y="0"/>
                <wp:positionH relativeFrom="column">
                  <wp:posOffset>-1159510</wp:posOffset>
                </wp:positionH>
                <wp:positionV relativeFrom="paragraph">
                  <wp:posOffset>325755</wp:posOffset>
                </wp:positionV>
                <wp:extent cx="941070" cy="285115"/>
                <wp:effectExtent l="0" t="0" r="11430" b="635"/>
                <wp:wrapNone/>
                <wp:docPr id="4" name="文本框 4"/>
                <wp:cNvGraphicFramePr/>
                <a:graphic xmlns:a="http://schemas.openxmlformats.org/drawingml/2006/main">
                  <a:graphicData uri="http://schemas.microsoft.com/office/word/2010/wordprocessingShape">
                    <wps:wsp>
                      <wps:cNvSpPr txBox="1"/>
                      <wps:spPr>
                        <a:xfrm>
                          <a:off x="0" y="0"/>
                          <a:ext cx="941070" cy="2851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20"/>
                                <w:szCs w:val="22"/>
                                <w:lang w:eastAsia="zh-CN"/>
                              </w:rPr>
                            </w:pPr>
                            <w:r>
                              <w:rPr>
                                <w:rFonts w:hint="eastAsia"/>
                                <w:sz w:val="20"/>
                                <w:szCs w:val="22"/>
                                <w:lang w:eastAsia="zh-CN"/>
                              </w:rPr>
                              <w:t>单位：万元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1.3pt;margin-top:25.65pt;height:22.45pt;width:74.1pt;z-index:251674624;mso-width-relative:page;mso-height-relative:page;" fillcolor="#FFFFFF [3201]" filled="t" stroked="f" coordsize="21600,21600" o:gfxdata="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bzEMbdYAAAAKAQAADwAAAAAA&#10;AAABACAAAAAiAAAAZHJzL2Rvd25yZXYueG1sUEsBAhQAFAAAAAgAh07iQFR9PShOAgAAjgQAAA4A&#10;AAAAAAAAAQAgAAAAJQEAAGRycy9lMm9Eb2MueG1sUEsFBgAAAAAGAAYAWQEAAOUFAAAAAA==&#10;">
                <v:fill on="t" focussize="0,0"/>
                <v:stroke on="f" weight="0.5pt"/>
                <v:imagedata o:title=""/>
                <o:lock v:ext="edit" aspectratio="f"/>
                <v:textbox>
                  <w:txbxContent>
                    <w:p>
                      <w:pPr>
                        <w:rPr>
                          <w:rFonts w:hint="eastAsia" w:eastAsiaTheme="minorEastAsia"/>
                          <w:sz w:val="20"/>
                          <w:szCs w:val="22"/>
                          <w:lang w:eastAsia="zh-CN"/>
                        </w:rPr>
                      </w:pPr>
                      <w:r>
                        <w:rPr>
                          <w:rFonts w:hint="eastAsia"/>
                          <w:sz w:val="20"/>
                          <w:szCs w:val="22"/>
                          <w:lang w:eastAsia="zh-CN"/>
                        </w:rPr>
                        <w:t>单位：万元</w:t>
                      </w:r>
                    </w:p>
                  </w:txbxContent>
                </v:textbox>
              </v:shape>
            </w:pict>
          </mc:Fallback>
        </mc:AlternateContent>
      </w:r>
      <w:r>
        <w:drawing>
          <wp:anchor distT="0" distB="0" distL="114300" distR="114300" simplePos="0" relativeHeight="251673600" behindDoc="0" locked="0" layoutInCell="1" allowOverlap="1">
            <wp:simplePos x="0" y="0"/>
            <wp:positionH relativeFrom="column">
              <wp:posOffset>299720</wp:posOffset>
            </wp:positionH>
            <wp:positionV relativeFrom="paragraph">
              <wp:posOffset>128270</wp:posOffset>
            </wp:positionV>
            <wp:extent cx="4448175" cy="2971800"/>
            <wp:effectExtent l="4445" t="4445" r="5080" b="14605"/>
            <wp:wrapSquare wrapText="bothSides"/>
            <wp:docPr id="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b/>
          <w:bCs/>
          <w:color w:val="auto"/>
          <w:sz w:val="30"/>
        </w:rPr>
        <mc:AlternateContent>
          <mc:Choice Requires="wps">
            <w:drawing>
              <wp:anchor distT="0" distB="0" distL="114300" distR="114300" simplePos="0" relativeHeight="251663360" behindDoc="0" locked="0" layoutInCell="1" allowOverlap="1">
                <wp:simplePos x="0" y="0"/>
                <wp:positionH relativeFrom="column">
                  <wp:posOffset>4079240</wp:posOffset>
                </wp:positionH>
                <wp:positionV relativeFrom="paragraph">
                  <wp:posOffset>349885</wp:posOffset>
                </wp:positionV>
                <wp:extent cx="878205" cy="304800"/>
                <wp:effectExtent l="0" t="0" r="17145" b="0"/>
                <wp:wrapNone/>
                <wp:docPr id="8" name="文本框 8"/>
                <wp:cNvGraphicFramePr/>
                <a:graphic xmlns:a="http://schemas.openxmlformats.org/drawingml/2006/main">
                  <a:graphicData uri="http://schemas.microsoft.com/office/word/2010/wordprocessingShape">
                    <wps:wsp>
                      <wps:cNvSpPr txBox="1"/>
                      <wps:spPr>
                        <a:xfrm>
                          <a:off x="5334000" y="6492875"/>
                          <a:ext cx="878205" cy="304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单位：万元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1.2pt;margin-top:27.55pt;height:24pt;width:69.15pt;z-index:251663360;mso-width-relative:page;mso-height-relative:page;" fillcolor="#FFFFFF [3201]" filled="t" stroked="f" coordsize="21600,21600" o:gfxdata="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PKg/TPW&#10;AAAACgEAAA8AAAAAAAAAAQAgAAAAIgAAAGRycy9kb3ducmV2LnhtbFBLAQIUABQAAAAIAIdO4kBt&#10;jAitWwIAAJoEAAAOAAAAAAAAAAEAIAAAACUBAABkcnMvZTJvRG9jLnhtbFBLBQYAAAAABgAGAFkB&#10;AADyBQAAAAA=&#10;">
                <v:fill on="t" focussize="0,0"/>
                <v:stroke on="f" weight="0.5pt"/>
                <v:imagedata o:title=""/>
                <o:lock v:ext="edit" aspectratio="f"/>
                <v:textbox>
                  <w:txbxContent>
                    <w:p>
                      <w:pPr>
                        <w:rPr>
                          <w:rFonts w:hint="eastAsia" w:eastAsia="宋体"/>
                          <w:lang w:eastAsia="zh-CN"/>
                        </w:rPr>
                      </w:pPr>
                      <w:r>
                        <w:rPr>
                          <w:rFonts w:hint="eastAsia"/>
                          <w:lang w:eastAsia="zh-CN"/>
                        </w:rPr>
                        <w:t>单位：万元</w:t>
                      </w:r>
                    </w:p>
                  </w:txbxContent>
                </v:textbox>
              </v:shape>
            </w:pict>
          </mc:Fallback>
        </mc:AlternateContent>
      </w:r>
    </w:p>
    <w:p>
      <w:pPr>
        <w:pStyle w:val="2"/>
        <w:rPr>
          <w:rFonts w:ascii="仿宋" w:hAnsi="仿宋" w:eastAsia="仿宋"/>
          <w:b/>
          <w:bCs/>
          <w:color w:val="auto"/>
          <w:sz w:val="32"/>
          <w:szCs w:val="32"/>
          <w:highlight w:val="none"/>
        </w:rPr>
      </w:pPr>
    </w:p>
    <w:p>
      <w:pPr>
        <w:pStyle w:val="2"/>
        <w:rPr>
          <w:rFonts w:ascii="仿宋" w:hAnsi="仿宋" w:eastAsia="仿宋"/>
          <w:b/>
          <w:bCs/>
          <w:color w:val="auto"/>
          <w:sz w:val="32"/>
          <w:szCs w:val="32"/>
          <w:highlight w:val="none"/>
        </w:rPr>
      </w:pPr>
    </w:p>
    <w:p>
      <w:pPr>
        <w:pStyle w:val="2"/>
        <w:rPr>
          <w:rFonts w:ascii="仿宋" w:hAnsi="仿宋" w:eastAsia="仿宋"/>
          <w:b/>
          <w:bCs/>
          <w:color w:val="auto"/>
          <w:sz w:val="32"/>
          <w:szCs w:val="32"/>
          <w:highlight w:val="none"/>
        </w:rPr>
      </w:pPr>
    </w:p>
    <w:p>
      <w:pPr>
        <w:pStyle w:val="2"/>
        <w:rPr>
          <w:rFonts w:ascii="仿宋" w:hAnsi="仿宋" w:eastAsia="仿宋"/>
          <w:b/>
          <w:bCs/>
          <w:color w:val="auto"/>
          <w:sz w:val="32"/>
          <w:szCs w:val="32"/>
          <w:highlight w:val="none"/>
        </w:rPr>
      </w:pPr>
    </w:p>
    <w:p>
      <w:pPr>
        <w:pStyle w:val="2"/>
        <w:rPr>
          <w:rFonts w:ascii="仿宋" w:hAnsi="仿宋" w:eastAsia="仿宋"/>
          <w:b/>
          <w:bCs/>
          <w:color w:val="auto"/>
          <w:sz w:val="32"/>
          <w:szCs w:val="32"/>
          <w:highlight w:val="none"/>
        </w:rPr>
      </w:pPr>
    </w:p>
    <w:p>
      <w:pPr>
        <w:pStyle w:val="2"/>
        <w:rPr>
          <w:rFonts w:ascii="仿宋" w:hAnsi="仿宋" w:eastAsia="仿宋"/>
          <w:b/>
          <w:bCs/>
          <w:color w:val="auto"/>
          <w:sz w:val="32"/>
          <w:szCs w:val="32"/>
          <w:highlight w:val="none"/>
        </w:rPr>
      </w:pPr>
    </w:p>
    <w:p>
      <w:pPr>
        <w:pStyle w:val="2"/>
        <w:jc w:val="center"/>
        <w:rPr>
          <w:rFonts w:hint="eastAsia" w:ascii="方正仿宋简体" w:hAnsi="方正仿宋简体" w:eastAsia="方正仿宋简体" w:cs="方正仿宋简体"/>
          <w:b/>
          <w:bCs/>
          <w:color w:val="auto"/>
          <w:sz w:val="28"/>
          <w:szCs w:val="28"/>
          <w:highlight w:val="none"/>
        </w:rPr>
      </w:pPr>
      <w:r>
        <w:rPr>
          <w:rFonts w:hint="eastAsia" w:ascii="方正仿宋简体" w:hAnsi="方正仿宋简体" w:eastAsia="方正仿宋简体" w:cs="方正仿宋简体"/>
          <w:b/>
          <w:bCs/>
          <w:color w:val="auto"/>
          <w:sz w:val="28"/>
          <w:szCs w:val="28"/>
          <w:highlight w:val="none"/>
        </w:rPr>
        <w:t>图4：财政拨款收、支决算总计变动情况</w:t>
      </w:r>
    </w:p>
    <w:p>
      <w:pPr>
        <w:spacing w:line="600" w:lineRule="exact"/>
        <w:ind w:firstLine="643" w:firstLineChars="200"/>
        <w:outlineLvl w:val="1"/>
        <w:rPr>
          <w:rStyle w:val="25"/>
          <w:rFonts w:hint="eastAsia" w:ascii="方正黑体简体" w:hAnsi="方正黑体简体" w:eastAsia="方正黑体简体" w:cs="方正黑体简体"/>
          <w:b/>
          <w:bCs/>
          <w:color w:val="auto"/>
          <w:highlight w:val="none"/>
        </w:rPr>
      </w:pPr>
      <w:bookmarkStart w:id="30" w:name="_Toc15377209"/>
      <w:bookmarkStart w:id="31" w:name="_Toc15396607"/>
      <w:r>
        <w:rPr>
          <w:rFonts w:hint="eastAsia" w:ascii="方正黑体简体" w:hAnsi="方正黑体简体" w:eastAsia="方正黑体简体" w:cs="方正黑体简体"/>
          <w:b/>
          <w:bCs/>
          <w:color w:val="auto"/>
          <w:sz w:val="32"/>
          <w:szCs w:val="32"/>
          <w:highlight w:val="none"/>
        </w:rPr>
        <w:t>五、一</w:t>
      </w:r>
      <w:r>
        <w:rPr>
          <w:rStyle w:val="25"/>
          <w:rFonts w:hint="eastAsia" w:ascii="方正黑体简体" w:hAnsi="方正黑体简体" w:eastAsia="方正黑体简体" w:cs="方正黑体简体"/>
          <w:b/>
          <w:bCs/>
          <w:color w:val="auto"/>
          <w:highlight w:val="none"/>
        </w:rPr>
        <w:t>般公共预算财政拨款支出决算情况说明</w:t>
      </w:r>
      <w:bookmarkEnd w:id="30"/>
      <w:bookmarkEnd w:id="31"/>
    </w:p>
    <w:p>
      <w:pPr>
        <w:spacing w:line="600" w:lineRule="exact"/>
        <w:ind w:firstLine="643" w:firstLineChars="200"/>
        <w:outlineLvl w:val="2"/>
        <w:rPr>
          <w:rFonts w:hint="eastAsia" w:ascii="方正楷体简体" w:hAnsi="方正楷体简体" w:eastAsia="方正楷体简体" w:cs="方正楷体简体"/>
          <w:b/>
          <w:bCs/>
          <w:color w:val="auto"/>
          <w:sz w:val="32"/>
          <w:szCs w:val="32"/>
          <w:highlight w:val="none"/>
        </w:rPr>
      </w:pPr>
      <w:bookmarkStart w:id="32" w:name="_Toc15377210"/>
      <w:r>
        <w:rPr>
          <w:rFonts w:hint="eastAsia" w:ascii="方正楷体简体" w:hAnsi="方正楷体简体" w:eastAsia="方正楷体简体" w:cs="方正楷体简体"/>
          <w:b/>
          <w:bCs/>
          <w:color w:val="auto"/>
          <w:sz w:val="32"/>
          <w:szCs w:val="32"/>
          <w:highlight w:val="none"/>
        </w:rPr>
        <w:t>（一）一般公共预算财政拨款支出决算总体情况</w:t>
      </w:r>
      <w:bookmarkEnd w:id="32"/>
    </w:p>
    <w:p>
      <w:pPr>
        <w:spacing w:line="600" w:lineRule="exact"/>
        <w:ind w:firstLine="643" w:firstLineChars="200"/>
        <w:rPr>
          <w:rFonts w:hint="default" w:ascii="方正仿宋简体" w:hAnsi="方正仿宋简体" w:eastAsia="方正仿宋简体" w:cs="方正仿宋简体"/>
          <w:b/>
          <w:bCs/>
          <w:color w:val="auto"/>
          <w:sz w:val="32"/>
          <w:szCs w:val="32"/>
          <w:highlight w:val="yellow"/>
          <w:lang w:val="en-US" w:eastAsia="zh-CN"/>
        </w:rPr>
      </w:pPr>
      <w:r>
        <w:rPr>
          <w:rFonts w:hint="eastAsia" w:ascii="方正仿宋简体" w:hAnsi="方正仿宋简体" w:eastAsia="方正仿宋简体" w:cs="方正仿宋简体"/>
          <w:b/>
          <w:bCs/>
          <w:color w:val="auto"/>
          <w:sz w:val="32"/>
          <w:szCs w:val="32"/>
          <w:highlight w:val="none"/>
        </w:rPr>
        <w:t>20</w:t>
      </w:r>
      <w:r>
        <w:rPr>
          <w:rFonts w:hint="eastAsia" w:ascii="方正仿宋简体" w:hAnsi="方正仿宋简体" w:eastAsia="方正仿宋简体" w:cs="方正仿宋简体"/>
          <w:b/>
          <w:bCs/>
          <w:color w:val="auto"/>
          <w:sz w:val="32"/>
          <w:szCs w:val="32"/>
          <w:highlight w:val="none"/>
          <w:lang w:val="en-US" w:eastAsia="zh-CN"/>
        </w:rPr>
        <w:t>20</w:t>
      </w:r>
      <w:r>
        <w:rPr>
          <w:rFonts w:hint="eastAsia" w:ascii="方正仿宋简体" w:hAnsi="方正仿宋简体" w:eastAsia="方正仿宋简体" w:cs="方正仿宋简体"/>
          <w:b/>
          <w:bCs/>
          <w:color w:val="auto"/>
          <w:sz w:val="32"/>
          <w:szCs w:val="32"/>
          <w:highlight w:val="none"/>
        </w:rPr>
        <w:t>年一般公共预算财政拨款支出</w:t>
      </w:r>
      <w:r>
        <w:rPr>
          <w:rFonts w:hint="eastAsia" w:ascii="方正仿宋简体" w:hAnsi="方正仿宋简体" w:eastAsia="方正仿宋简体" w:cs="方正仿宋简体"/>
          <w:b/>
          <w:bCs/>
          <w:color w:val="auto"/>
          <w:sz w:val="32"/>
          <w:szCs w:val="32"/>
          <w:highlight w:val="none"/>
          <w:lang w:val="en-US" w:eastAsia="zh-CN"/>
        </w:rPr>
        <w:t>13437.29</w:t>
      </w:r>
      <w:r>
        <w:rPr>
          <w:rFonts w:hint="eastAsia" w:ascii="方正仿宋简体" w:hAnsi="方正仿宋简体" w:eastAsia="方正仿宋简体" w:cs="方正仿宋简体"/>
          <w:b/>
          <w:bCs/>
          <w:color w:val="auto"/>
          <w:sz w:val="32"/>
          <w:szCs w:val="32"/>
          <w:highlight w:val="none"/>
        </w:rPr>
        <w:t>万元，占本年支出合计的</w:t>
      </w:r>
      <w:r>
        <w:rPr>
          <w:rFonts w:hint="eastAsia" w:ascii="方正仿宋简体" w:hAnsi="方正仿宋简体" w:eastAsia="方正仿宋简体" w:cs="方正仿宋简体"/>
          <w:b/>
          <w:bCs/>
          <w:color w:val="auto"/>
          <w:sz w:val="32"/>
          <w:szCs w:val="32"/>
          <w:highlight w:val="none"/>
          <w:lang w:val="en-US" w:eastAsia="zh-CN"/>
        </w:rPr>
        <w:t>92.33</w:t>
      </w:r>
      <w:r>
        <w:rPr>
          <w:rFonts w:hint="eastAsia" w:ascii="方正仿宋简体" w:hAnsi="方正仿宋简体" w:eastAsia="方正仿宋简体" w:cs="方正仿宋简体"/>
          <w:b/>
          <w:bCs/>
          <w:color w:val="auto"/>
          <w:sz w:val="32"/>
          <w:szCs w:val="32"/>
          <w:highlight w:val="none"/>
        </w:rPr>
        <w:t>%。与201</w:t>
      </w:r>
      <w:r>
        <w:rPr>
          <w:rFonts w:hint="eastAsia" w:ascii="方正仿宋简体" w:hAnsi="方正仿宋简体" w:eastAsia="方正仿宋简体" w:cs="方正仿宋简体"/>
          <w:b/>
          <w:bCs/>
          <w:color w:val="auto"/>
          <w:sz w:val="32"/>
          <w:szCs w:val="32"/>
          <w:highlight w:val="none"/>
          <w:lang w:val="en-US" w:eastAsia="zh-CN"/>
        </w:rPr>
        <w:t>9</w:t>
      </w:r>
      <w:r>
        <w:rPr>
          <w:rFonts w:hint="eastAsia" w:ascii="方正仿宋简体" w:hAnsi="方正仿宋简体" w:eastAsia="方正仿宋简体" w:cs="方正仿宋简体"/>
          <w:b/>
          <w:bCs/>
          <w:color w:val="auto"/>
          <w:sz w:val="32"/>
          <w:szCs w:val="32"/>
          <w:highlight w:val="none"/>
        </w:rPr>
        <w:t>年相比，一般公共预算财政拨款</w:t>
      </w:r>
      <w:r>
        <w:rPr>
          <w:rFonts w:hint="eastAsia" w:ascii="方正仿宋简体" w:hAnsi="方正仿宋简体" w:eastAsia="方正仿宋简体" w:cs="方正仿宋简体"/>
          <w:b/>
          <w:bCs/>
          <w:color w:val="auto"/>
          <w:sz w:val="32"/>
          <w:szCs w:val="32"/>
          <w:highlight w:val="none"/>
          <w:lang w:eastAsia="zh-CN"/>
        </w:rPr>
        <w:t>支出</w:t>
      </w:r>
      <w:r>
        <w:rPr>
          <w:rFonts w:hint="eastAsia" w:ascii="方正仿宋简体" w:hAnsi="方正仿宋简体" w:eastAsia="方正仿宋简体" w:cs="方正仿宋简体"/>
          <w:b/>
          <w:bCs/>
          <w:color w:val="auto"/>
          <w:sz w:val="32"/>
          <w:szCs w:val="32"/>
          <w:highlight w:val="none"/>
        </w:rPr>
        <w:t>减少</w:t>
      </w:r>
      <w:r>
        <w:rPr>
          <w:rFonts w:hint="eastAsia" w:ascii="方正仿宋简体" w:hAnsi="方正仿宋简体" w:eastAsia="方正仿宋简体" w:cs="方正仿宋简体"/>
          <w:b/>
          <w:bCs/>
          <w:color w:val="auto"/>
          <w:sz w:val="32"/>
          <w:szCs w:val="32"/>
          <w:highlight w:val="none"/>
          <w:lang w:val="en-US" w:eastAsia="zh-CN"/>
        </w:rPr>
        <w:t>1137.83</w:t>
      </w:r>
      <w:r>
        <w:rPr>
          <w:rFonts w:hint="eastAsia" w:ascii="方正仿宋简体" w:hAnsi="方正仿宋简体" w:eastAsia="方正仿宋简体" w:cs="方正仿宋简体"/>
          <w:b/>
          <w:bCs/>
          <w:color w:val="auto"/>
          <w:sz w:val="32"/>
          <w:szCs w:val="32"/>
          <w:highlight w:val="none"/>
        </w:rPr>
        <w:t>万元，下降</w:t>
      </w:r>
      <w:r>
        <w:rPr>
          <w:rFonts w:hint="eastAsia" w:ascii="方正仿宋简体" w:hAnsi="方正仿宋简体" w:eastAsia="方正仿宋简体" w:cs="方正仿宋简体"/>
          <w:b/>
          <w:bCs/>
          <w:color w:val="auto"/>
          <w:sz w:val="32"/>
          <w:szCs w:val="32"/>
          <w:highlight w:val="none"/>
          <w:lang w:val="en-US" w:eastAsia="zh-CN"/>
        </w:rPr>
        <w:t>7.81</w:t>
      </w:r>
      <w:r>
        <w:rPr>
          <w:rFonts w:hint="eastAsia" w:ascii="方正仿宋简体" w:hAnsi="方正仿宋简体" w:eastAsia="方正仿宋简体" w:cs="方正仿宋简体"/>
          <w:b/>
          <w:bCs/>
          <w:color w:val="auto"/>
          <w:sz w:val="32"/>
          <w:szCs w:val="32"/>
          <w:highlight w:val="none"/>
        </w:rPr>
        <w:t>%。主要变动原因是</w:t>
      </w:r>
      <w:r>
        <w:rPr>
          <w:rFonts w:hint="eastAsia" w:ascii="方正仿宋简体" w:hAnsi="方正仿宋简体" w:eastAsia="方正仿宋简体" w:cs="方正仿宋简体"/>
          <w:b/>
          <w:bCs/>
          <w:color w:val="auto"/>
          <w:sz w:val="32"/>
          <w:szCs w:val="32"/>
          <w:highlight w:val="none"/>
          <w:lang w:val="en-US" w:eastAsia="zh-CN"/>
        </w:rPr>
        <w:t>一次性项目经费减少。</w:t>
      </w:r>
    </w:p>
    <w:p>
      <w:pPr>
        <w:pStyle w:val="2"/>
        <w:rPr>
          <w:rFonts w:hint="eastAsia" w:ascii="仿宋" w:hAnsi="仿宋" w:eastAsia="仿宋"/>
          <w:b/>
          <w:bCs/>
          <w:color w:val="auto"/>
          <w:sz w:val="32"/>
          <w:szCs w:val="32"/>
          <w:highlight w:val="none"/>
          <w:lang w:eastAsia="zh-CN"/>
        </w:rPr>
      </w:pPr>
    </w:p>
    <w:p>
      <w:pPr>
        <w:pStyle w:val="2"/>
        <w:rPr>
          <w:rFonts w:hint="eastAsia" w:ascii="仿宋" w:hAnsi="仿宋" w:eastAsia="仿宋"/>
          <w:b/>
          <w:bCs/>
          <w:color w:val="auto"/>
          <w:sz w:val="32"/>
          <w:szCs w:val="32"/>
          <w:highlight w:val="none"/>
          <w:lang w:eastAsia="zh-CN"/>
        </w:rPr>
      </w:pPr>
    </w:p>
    <w:p>
      <w:pPr>
        <w:pStyle w:val="2"/>
        <w:rPr>
          <w:rFonts w:hint="eastAsia" w:ascii="仿宋" w:hAnsi="仿宋" w:eastAsia="仿宋"/>
          <w:b/>
          <w:bCs/>
          <w:color w:val="auto"/>
          <w:sz w:val="32"/>
          <w:szCs w:val="32"/>
          <w:highlight w:val="none"/>
          <w:lang w:eastAsia="zh-CN"/>
        </w:rPr>
      </w:pPr>
    </w:p>
    <w:p>
      <w:pPr>
        <w:pStyle w:val="2"/>
        <w:rPr>
          <w:rFonts w:hint="eastAsia" w:ascii="仿宋" w:hAnsi="仿宋" w:eastAsia="仿宋"/>
          <w:b/>
          <w:bCs/>
          <w:color w:val="auto"/>
          <w:sz w:val="32"/>
          <w:szCs w:val="32"/>
          <w:highlight w:val="none"/>
          <w:lang w:eastAsia="zh-CN"/>
        </w:rPr>
      </w:pPr>
      <w:bookmarkStart w:id="71" w:name="_GoBack"/>
      <w:bookmarkEnd w:id="71"/>
      <w:r>
        <w:drawing>
          <wp:anchor distT="0" distB="0" distL="114300" distR="114300" simplePos="0" relativeHeight="251675648" behindDoc="0" locked="0" layoutInCell="1" allowOverlap="1">
            <wp:simplePos x="0" y="0"/>
            <wp:positionH relativeFrom="column">
              <wp:posOffset>488315</wp:posOffset>
            </wp:positionH>
            <wp:positionV relativeFrom="paragraph">
              <wp:posOffset>99695</wp:posOffset>
            </wp:positionV>
            <wp:extent cx="4448175" cy="2971800"/>
            <wp:effectExtent l="4445" t="4445" r="5080" b="14605"/>
            <wp:wrapSquare wrapText="bothSides"/>
            <wp:docPr id="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pStyle w:val="2"/>
        <w:rPr>
          <w:rFonts w:hint="eastAsia" w:ascii="仿宋" w:hAnsi="仿宋" w:eastAsia="仿宋"/>
          <w:b/>
          <w:bCs/>
          <w:color w:val="auto"/>
          <w:sz w:val="32"/>
          <w:szCs w:val="32"/>
          <w:highlight w:val="none"/>
          <w:lang w:eastAsia="zh-CN"/>
        </w:rPr>
      </w:pPr>
      <w:r>
        <w:rPr>
          <w:sz w:val="21"/>
        </w:rPr>
        <mc:AlternateContent>
          <mc:Choice Requires="wps">
            <w:drawing>
              <wp:anchor distT="0" distB="0" distL="114300" distR="114300" simplePos="0" relativeHeight="251676672" behindDoc="0" locked="0" layoutInCell="1" allowOverlap="1">
                <wp:simplePos x="0" y="0"/>
                <wp:positionH relativeFrom="column">
                  <wp:posOffset>3983990</wp:posOffset>
                </wp:positionH>
                <wp:positionV relativeFrom="paragraph">
                  <wp:posOffset>5715</wp:posOffset>
                </wp:positionV>
                <wp:extent cx="941070" cy="285115"/>
                <wp:effectExtent l="0" t="0" r="11430" b="635"/>
                <wp:wrapNone/>
                <wp:docPr id="9" name="文本框 9"/>
                <wp:cNvGraphicFramePr/>
                <a:graphic xmlns:a="http://schemas.openxmlformats.org/drawingml/2006/main">
                  <a:graphicData uri="http://schemas.microsoft.com/office/word/2010/wordprocessingShape">
                    <wps:wsp>
                      <wps:cNvSpPr txBox="1"/>
                      <wps:spPr>
                        <a:xfrm>
                          <a:off x="0" y="0"/>
                          <a:ext cx="941070" cy="2851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20"/>
                                <w:szCs w:val="22"/>
                                <w:lang w:eastAsia="zh-CN"/>
                              </w:rPr>
                            </w:pPr>
                            <w:r>
                              <w:rPr>
                                <w:rFonts w:hint="eastAsia"/>
                                <w:sz w:val="20"/>
                                <w:szCs w:val="22"/>
                                <w:lang w:eastAsia="zh-CN"/>
                              </w:rPr>
                              <w:t>单位：万元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3.7pt;margin-top:0.45pt;height:22.45pt;width:74.1pt;z-index:251676672;mso-width-relative:page;mso-height-relative:page;" fillcolor="#FFFFFF [3201]" filled="t" stroked="f" coordsize="21600,21600" o:gfxdata="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WHoMF1AAAAAcBAAAPAAAAAAAA&#10;AAEAIAAAACIAAABkcnMvZG93bnJldi54bWxQSwECFAAUAAAACACHTuJA9EIO5U8CAACOBAAADgAA&#10;AAAAAAABACAAAAAjAQAAZHJzL2Uyb0RvYy54bWxQSwUGAAAAAAYABgBZAQAA5AUAAAAA&#10;">
                <v:fill on="t" focussize="0,0"/>
                <v:stroke on="f" weight="0.5pt"/>
                <v:imagedata o:title=""/>
                <o:lock v:ext="edit" aspectratio="f"/>
                <v:textbox>
                  <w:txbxContent>
                    <w:p>
                      <w:pPr>
                        <w:rPr>
                          <w:rFonts w:hint="eastAsia" w:eastAsiaTheme="minorEastAsia"/>
                          <w:sz w:val="20"/>
                          <w:szCs w:val="22"/>
                          <w:lang w:eastAsia="zh-CN"/>
                        </w:rPr>
                      </w:pPr>
                      <w:r>
                        <w:rPr>
                          <w:rFonts w:hint="eastAsia"/>
                          <w:sz w:val="20"/>
                          <w:szCs w:val="22"/>
                          <w:lang w:eastAsia="zh-CN"/>
                        </w:rPr>
                        <w:t>单位：万元</w:t>
                      </w:r>
                    </w:p>
                  </w:txbxContent>
                </v:textbox>
              </v:shape>
            </w:pict>
          </mc:Fallback>
        </mc:AlternateContent>
      </w:r>
    </w:p>
    <w:p>
      <w:pPr>
        <w:pStyle w:val="2"/>
        <w:rPr>
          <w:rFonts w:hint="eastAsia" w:ascii="仿宋" w:hAnsi="仿宋" w:eastAsia="仿宋"/>
          <w:b/>
          <w:bCs/>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 w:hAnsi="仿宋" w:eastAsia="仿宋"/>
          <w:b/>
          <w:bCs/>
          <w:color w:val="auto"/>
          <w:sz w:val="32"/>
          <w:szCs w:val="32"/>
          <w:highlight w:val="none"/>
        </w:rPr>
      </w:pPr>
    </w:p>
    <w:p>
      <w:pPr>
        <w:pStyle w:val="2"/>
        <w:jc w:val="center"/>
        <w:rPr>
          <w:rFonts w:hint="eastAsia" w:ascii="方正仿宋简体" w:hAnsi="方正仿宋简体" w:eastAsia="方正仿宋简体" w:cs="方正仿宋简体"/>
          <w:b/>
          <w:bCs/>
          <w:color w:val="auto"/>
          <w:sz w:val="28"/>
          <w:szCs w:val="28"/>
          <w:highlight w:val="none"/>
        </w:rPr>
      </w:pPr>
    </w:p>
    <w:p>
      <w:pPr>
        <w:pStyle w:val="2"/>
        <w:jc w:val="center"/>
        <w:rPr>
          <w:rFonts w:hint="eastAsia" w:ascii="方正仿宋简体" w:hAnsi="方正仿宋简体" w:eastAsia="方正仿宋简体" w:cs="方正仿宋简体"/>
          <w:b/>
          <w:bCs/>
          <w:color w:val="auto"/>
          <w:sz w:val="28"/>
          <w:szCs w:val="28"/>
          <w:highlight w:val="none"/>
        </w:rPr>
      </w:pPr>
    </w:p>
    <w:p>
      <w:pPr>
        <w:pStyle w:val="2"/>
        <w:jc w:val="center"/>
        <w:rPr>
          <w:rFonts w:hint="eastAsia" w:ascii="方正仿宋简体" w:hAnsi="方正仿宋简体" w:eastAsia="方正仿宋简体" w:cs="方正仿宋简体"/>
          <w:b/>
          <w:bCs/>
          <w:color w:val="auto"/>
          <w:sz w:val="28"/>
          <w:szCs w:val="28"/>
          <w:highlight w:val="none"/>
        </w:rPr>
      </w:pPr>
    </w:p>
    <w:p>
      <w:pPr>
        <w:pStyle w:val="2"/>
        <w:jc w:val="center"/>
        <w:rPr>
          <w:rFonts w:hint="eastAsia" w:ascii="方正仿宋简体" w:hAnsi="方正仿宋简体" w:eastAsia="方正仿宋简体" w:cs="方正仿宋简体"/>
          <w:b/>
          <w:bCs/>
          <w:color w:val="auto"/>
          <w:sz w:val="28"/>
          <w:szCs w:val="28"/>
          <w:highlight w:val="none"/>
        </w:rPr>
      </w:pPr>
    </w:p>
    <w:p>
      <w:pPr>
        <w:pStyle w:val="2"/>
        <w:jc w:val="center"/>
        <w:rPr>
          <w:rFonts w:hint="eastAsia" w:ascii="方正仿宋简体" w:hAnsi="方正仿宋简体" w:eastAsia="方正仿宋简体" w:cs="方正仿宋简体"/>
          <w:b/>
          <w:bCs/>
          <w:color w:val="auto"/>
          <w:sz w:val="28"/>
          <w:szCs w:val="28"/>
          <w:highlight w:val="none"/>
        </w:rPr>
      </w:pPr>
      <w:r>
        <w:rPr>
          <w:rFonts w:hint="eastAsia" w:ascii="方正仿宋简体" w:hAnsi="方正仿宋简体" w:eastAsia="方正仿宋简体" w:cs="方正仿宋简体"/>
          <w:b/>
          <w:bCs/>
          <w:color w:val="auto"/>
          <w:sz w:val="28"/>
          <w:szCs w:val="28"/>
          <w:highlight w:val="none"/>
        </w:rPr>
        <w:t>图5：一般公共预算财政拨款支出决算变动情况</w:t>
      </w:r>
    </w:p>
    <w:p>
      <w:pPr>
        <w:spacing w:line="600" w:lineRule="exact"/>
        <w:ind w:firstLine="643" w:firstLineChars="200"/>
        <w:outlineLvl w:val="2"/>
        <w:rPr>
          <w:rFonts w:hint="eastAsia" w:ascii="方正楷体简体" w:hAnsi="方正楷体简体" w:eastAsia="方正楷体简体" w:cs="方正楷体简体"/>
          <w:b/>
          <w:bCs/>
          <w:color w:val="auto"/>
          <w:sz w:val="32"/>
          <w:szCs w:val="32"/>
          <w:highlight w:val="none"/>
        </w:rPr>
      </w:pPr>
      <w:bookmarkStart w:id="33" w:name="_Toc15377211"/>
      <w:r>
        <w:rPr>
          <w:rFonts w:hint="eastAsia" w:ascii="方正楷体简体" w:hAnsi="方正楷体简体" w:eastAsia="方正楷体简体" w:cs="方正楷体简体"/>
          <w:b/>
          <w:bCs/>
          <w:color w:val="auto"/>
          <w:sz w:val="32"/>
          <w:szCs w:val="32"/>
          <w:highlight w:val="none"/>
        </w:rPr>
        <w:t>（二）一般公共预算财政拨款支出决算结构情况</w:t>
      </w:r>
      <w:bookmarkEnd w:id="33"/>
    </w:p>
    <w:p>
      <w:pPr>
        <w:spacing w:line="600" w:lineRule="exact"/>
        <w:ind w:firstLine="640"/>
        <w:rPr>
          <w:rFonts w:ascii="仿宋" w:hAnsi="仿宋" w:eastAsia="仿宋"/>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20</w:t>
      </w:r>
      <w:r>
        <w:rPr>
          <w:rFonts w:hint="eastAsia" w:ascii="方正仿宋简体" w:hAnsi="方正仿宋简体" w:eastAsia="方正仿宋简体" w:cs="方正仿宋简体"/>
          <w:b/>
          <w:bCs/>
          <w:color w:val="auto"/>
          <w:sz w:val="32"/>
          <w:szCs w:val="32"/>
          <w:highlight w:val="none"/>
          <w:lang w:val="en-US" w:eastAsia="zh-CN"/>
        </w:rPr>
        <w:t>20</w:t>
      </w:r>
      <w:r>
        <w:rPr>
          <w:rFonts w:hint="eastAsia" w:ascii="方正仿宋简体" w:hAnsi="方正仿宋简体" w:eastAsia="方正仿宋简体" w:cs="方正仿宋简体"/>
          <w:b/>
          <w:bCs/>
          <w:color w:val="auto"/>
          <w:sz w:val="32"/>
          <w:szCs w:val="32"/>
          <w:highlight w:val="none"/>
        </w:rPr>
        <w:t>年一般公共预算财政拨款支出</w:t>
      </w:r>
      <w:r>
        <w:rPr>
          <w:rFonts w:hint="eastAsia" w:ascii="方正仿宋简体" w:hAnsi="方正仿宋简体" w:eastAsia="方正仿宋简体" w:cs="方正仿宋简体"/>
          <w:b/>
          <w:bCs/>
          <w:color w:val="auto"/>
          <w:sz w:val="32"/>
          <w:szCs w:val="32"/>
          <w:highlight w:val="none"/>
          <w:lang w:val="en-US" w:eastAsia="zh-CN"/>
        </w:rPr>
        <w:t>13437.29</w:t>
      </w:r>
      <w:r>
        <w:rPr>
          <w:rFonts w:hint="eastAsia" w:ascii="方正仿宋简体" w:hAnsi="方正仿宋简体" w:eastAsia="方正仿宋简体" w:cs="方正仿宋简体"/>
          <w:b/>
          <w:bCs/>
          <w:color w:val="auto"/>
          <w:sz w:val="32"/>
          <w:szCs w:val="32"/>
          <w:highlight w:val="none"/>
        </w:rPr>
        <w:t>万元，主要用于以下方面:一般公共服务（类）支出</w:t>
      </w:r>
      <w:r>
        <w:rPr>
          <w:rFonts w:hint="eastAsia" w:ascii="方正仿宋简体" w:hAnsi="方正仿宋简体" w:eastAsia="方正仿宋简体" w:cs="方正仿宋简体"/>
          <w:b/>
          <w:bCs/>
          <w:color w:val="auto"/>
          <w:sz w:val="32"/>
          <w:szCs w:val="32"/>
          <w:highlight w:val="none"/>
          <w:lang w:val="en-US" w:eastAsia="zh-CN"/>
        </w:rPr>
        <w:t>11031.78</w:t>
      </w:r>
      <w:r>
        <w:rPr>
          <w:rFonts w:hint="eastAsia" w:ascii="方正仿宋简体" w:hAnsi="方正仿宋简体" w:eastAsia="方正仿宋简体" w:cs="方正仿宋简体"/>
          <w:b/>
          <w:bCs/>
          <w:color w:val="auto"/>
          <w:sz w:val="32"/>
          <w:szCs w:val="32"/>
          <w:highlight w:val="none"/>
        </w:rPr>
        <w:t>万元，占</w:t>
      </w:r>
      <w:r>
        <w:rPr>
          <w:rFonts w:hint="eastAsia" w:ascii="方正仿宋简体" w:hAnsi="方正仿宋简体" w:eastAsia="方正仿宋简体" w:cs="方正仿宋简体"/>
          <w:b/>
          <w:bCs/>
          <w:color w:val="auto"/>
          <w:sz w:val="32"/>
          <w:szCs w:val="32"/>
          <w:highlight w:val="none"/>
          <w:lang w:val="en-US" w:eastAsia="zh-CN"/>
        </w:rPr>
        <w:t>82.10</w:t>
      </w:r>
      <w:r>
        <w:rPr>
          <w:rFonts w:hint="eastAsia" w:ascii="方正仿宋简体" w:hAnsi="方正仿宋简体" w:eastAsia="方正仿宋简体" w:cs="方正仿宋简体"/>
          <w:b/>
          <w:bCs/>
          <w:color w:val="auto"/>
          <w:sz w:val="32"/>
          <w:szCs w:val="32"/>
          <w:highlight w:val="none"/>
        </w:rPr>
        <w:t>%；教育支出（类）</w:t>
      </w:r>
      <w:r>
        <w:rPr>
          <w:rFonts w:hint="eastAsia" w:ascii="方正仿宋简体" w:hAnsi="方正仿宋简体" w:eastAsia="方正仿宋简体" w:cs="方正仿宋简体"/>
          <w:b/>
          <w:bCs/>
          <w:color w:val="auto"/>
          <w:sz w:val="32"/>
          <w:szCs w:val="32"/>
          <w:highlight w:val="none"/>
          <w:lang w:val="en-US" w:eastAsia="zh-CN"/>
        </w:rPr>
        <w:t>11.26</w:t>
      </w:r>
      <w:r>
        <w:rPr>
          <w:rFonts w:hint="eastAsia" w:ascii="方正仿宋简体" w:hAnsi="方正仿宋简体" w:eastAsia="方正仿宋简体" w:cs="方正仿宋简体"/>
          <w:b/>
          <w:bCs/>
          <w:color w:val="auto"/>
          <w:sz w:val="32"/>
          <w:szCs w:val="32"/>
          <w:highlight w:val="none"/>
        </w:rPr>
        <w:t>万元，占</w:t>
      </w:r>
      <w:r>
        <w:rPr>
          <w:rFonts w:hint="eastAsia" w:ascii="方正仿宋简体" w:hAnsi="方正仿宋简体" w:eastAsia="方正仿宋简体" w:cs="方正仿宋简体"/>
          <w:b/>
          <w:bCs/>
          <w:color w:val="auto"/>
          <w:sz w:val="32"/>
          <w:szCs w:val="32"/>
          <w:highlight w:val="none"/>
          <w:lang w:val="en-US" w:eastAsia="zh-CN"/>
        </w:rPr>
        <w:t>0.08</w:t>
      </w:r>
      <w:r>
        <w:rPr>
          <w:rFonts w:hint="eastAsia" w:ascii="方正仿宋简体" w:hAnsi="方正仿宋简体" w:eastAsia="方正仿宋简体" w:cs="方正仿宋简体"/>
          <w:b/>
          <w:bCs/>
          <w:color w:val="auto"/>
          <w:sz w:val="32"/>
          <w:szCs w:val="32"/>
          <w:highlight w:val="none"/>
        </w:rPr>
        <w:t>%；科学技术（类）支出</w:t>
      </w:r>
      <w:r>
        <w:rPr>
          <w:rFonts w:hint="eastAsia" w:ascii="方正仿宋简体" w:hAnsi="方正仿宋简体" w:eastAsia="方正仿宋简体" w:cs="方正仿宋简体"/>
          <w:b/>
          <w:bCs/>
          <w:color w:val="auto"/>
          <w:sz w:val="32"/>
          <w:szCs w:val="32"/>
          <w:highlight w:val="none"/>
          <w:lang w:val="en-US" w:eastAsia="zh-CN"/>
        </w:rPr>
        <w:t>0</w:t>
      </w:r>
      <w:r>
        <w:rPr>
          <w:rFonts w:hint="eastAsia" w:ascii="方正仿宋简体" w:hAnsi="方正仿宋简体" w:eastAsia="方正仿宋简体" w:cs="方正仿宋简体"/>
          <w:b/>
          <w:bCs/>
          <w:color w:val="auto"/>
          <w:sz w:val="32"/>
          <w:szCs w:val="32"/>
          <w:highlight w:val="none"/>
        </w:rPr>
        <w:t>万元，占</w:t>
      </w:r>
      <w:r>
        <w:rPr>
          <w:rFonts w:hint="eastAsia" w:ascii="方正仿宋简体" w:hAnsi="方正仿宋简体" w:eastAsia="方正仿宋简体" w:cs="方正仿宋简体"/>
          <w:b/>
          <w:bCs/>
          <w:color w:val="auto"/>
          <w:sz w:val="32"/>
          <w:szCs w:val="32"/>
          <w:highlight w:val="none"/>
          <w:lang w:val="en-US" w:eastAsia="zh-CN"/>
        </w:rPr>
        <w:t>0</w:t>
      </w:r>
      <w:r>
        <w:rPr>
          <w:rFonts w:hint="eastAsia" w:ascii="方正仿宋简体" w:hAnsi="方正仿宋简体" w:eastAsia="方正仿宋简体" w:cs="方正仿宋简体"/>
          <w:b/>
          <w:bCs/>
          <w:color w:val="auto"/>
          <w:sz w:val="32"/>
          <w:szCs w:val="32"/>
          <w:highlight w:val="none"/>
        </w:rPr>
        <w:t>%；文化旅游体育与传媒（类）支出</w:t>
      </w:r>
      <w:r>
        <w:rPr>
          <w:rFonts w:hint="eastAsia" w:ascii="方正仿宋简体" w:hAnsi="方正仿宋简体" w:eastAsia="方正仿宋简体" w:cs="方正仿宋简体"/>
          <w:b/>
          <w:bCs/>
          <w:color w:val="auto"/>
          <w:sz w:val="32"/>
          <w:szCs w:val="32"/>
          <w:highlight w:val="none"/>
          <w:lang w:val="en-US" w:eastAsia="zh-CN"/>
        </w:rPr>
        <w:t>0</w:t>
      </w:r>
      <w:r>
        <w:rPr>
          <w:rFonts w:hint="eastAsia" w:ascii="方正仿宋简体" w:hAnsi="方正仿宋简体" w:eastAsia="方正仿宋简体" w:cs="方正仿宋简体"/>
          <w:b/>
          <w:bCs/>
          <w:color w:val="auto"/>
          <w:sz w:val="32"/>
          <w:szCs w:val="32"/>
          <w:highlight w:val="none"/>
        </w:rPr>
        <w:t>万元，占</w:t>
      </w:r>
      <w:r>
        <w:rPr>
          <w:rFonts w:hint="eastAsia" w:ascii="方正仿宋简体" w:hAnsi="方正仿宋简体" w:eastAsia="方正仿宋简体" w:cs="方正仿宋简体"/>
          <w:b/>
          <w:bCs/>
          <w:color w:val="auto"/>
          <w:sz w:val="32"/>
          <w:szCs w:val="32"/>
          <w:highlight w:val="none"/>
          <w:lang w:val="en-US" w:eastAsia="zh-CN"/>
        </w:rPr>
        <w:t>0</w:t>
      </w:r>
      <w:r>
        <w:rPr>
          <w:rFonts w:hint="eastAsia" w:ascii="方正仿宋简体" w:hAnsi="方正仿宋简体" w:eastAsia="方正仿宋简体" w:cs="方正仿宋简体"/>
          <w:b/>
          <w:bCs/>
          <w:color w:val="auto"/>
          <w:sz w:val="32"/>
          <w:szCs w:val="32"/>
          <w:highlight w:val="none"/>
        </w:rPr>
        <w:t>%；社会保障和就业（类）支出</w:t>
      </w:r>
      <w:r>
        <w:rPr>
          <w:rFonts w:hint="eastAsia" w:ascii="方正仿宋简体" w:hAnsi="方正仿宋简体" w:eastAsia="方正仿宋简体" w:cs="方正仿宋简体"/>
          <w:b/>
          <w:bCs/>
          <w:color w:val="auto"/>
          <w:sz w:val="32"/>
          <w:szCs w:val="32"/>
          <w:highlight w:val="none"/>
          <w:lang w:val="en-US" w:eastAsia="zh-CN"/>
        </w:rPr>
        <w:t>1214.63</w:t>
      </w:r>
      <w:r>
        <w:rPr>
          <w:rFonts w:hint="eastAsia" w:ascii="方正仿宋简体" w:hAnsi="方正仿宋简体" w:eastAsia="方正仿宋简体" w:cs="方正仿宋简体"/>
          <w:b/>
          <w:bCs/>
          <w:color w:val="auto"/>
          <w:sz w:val="32"/>
          <w:szCs w:val="32"/>
          <w:highlight w:val="none"/>
        </w:rPr>
        <w:t>万元，占</w:t>
      </w:r>
      <w:r>
        <w:rPr>
          <w:rFonts w:hint="eastAsia" w:ascii="方正仿宋简体" w:hAnsi="方正仿宋简体" w:eastAsia="方正仿宋简体" w:cs="方正仿宋简体"/>
          <w:b/>
          <w:bCs/>
          <w:color w:val="auto"/>
          <w:sz w:val="32"/>
          <w:szCs w:val="32"/>
          <w:highlight w:val="none"/>
          <w:lang w:val="en-US" w:eastAsia="zh-CN"/>
        </w:rPr>
        <w:t>9.04</w:t>
      </w:r>
      <w:r>
        <w:rPr>
          <w:rFonts w:hint="eastAsia" w:ascii="方正仿宋简体" w:hAnsi="方正仿宋简体" w:eastAsia="方正仿宋简体" w:cs="方正仿宋简体"/>
          <w:b/>
          <w:bCs/>
          <w:color w:val="auto"/>
          <w:sz w:val="32"/>
          <w:szCs w:val="32"/>
          <w:highlight w:val="none"/>
        </w:rPr>
        <w:t>%；卫生健康支出</w:t>
      </w:r>
      <w:r>
        <w:rPr>
          <w:rFonts w:hint="eastAsia" w:ascii="方正仿宋简体" w:hAnsi="方正仿宋简体" w:eastAsia="方正仿宋简体" w:cs="方正仿宋简体"/>
          <w:b/>
          <w:bCs/>
          <w:color w:val="auto"/>
          <w:sz w:val="32"/>
          <w:szCs w:val="32"/>
          <w:highlight w:val="none"/>
          <w:lang w:val="en-US" w:eastAsia="zh-CN"/>
        </w:rPr>
        <w:t>400.51</w:t>
      </w:r>
      <w:r>
        <w:rPr>
          <w:rFonts w:hint="eastAsia" w:ascii="方正仿宋简体" w:hAnsi="方正仿宋简体" w:eastAsia="方正仿宋简体" w:cs="方正仿宋简体"/>
          <w:b/>
          <w:bCs/>
          <w:color w:val="auto"/>
          <w:sz w:val="32"/>
          <w:szCs w:val="32"/>
          <w:highlight w:val="none"/>
        </w:rPr>
        <w:t>万元，占</w:t>
      </w:r>
      <w:r>
        <w:rPr>
          <w:rFonts w:hint="eastAsia" w:ascii="方正仿宋简体" w:hAnsi="方正仿宋简体" w:eastAsia="方正仿宋简体" w:cs="方正仿宋简体"/>
          <w:b/>
          <w:bCs/>
          <w:color w:val="auto"/>
          <w:sz w:val="32"/>
          <w:szCs w:val="32"/>
          <w:highlight w:val="none"/>
          <w:lang w:val="en-US" w:eastAsia="zh-CN"/>
        </w:rPr>
        <w:t>2.98</w:t>
      </w:r>
      <w:r>
        <w:rPr>
          <w:rFonts w:hint="eastAsia" w:ascii="方正仿宋简体" w:hAnsi="方正仿宋简体" w:eastAsia="方正仿宋简体" w:cs="方正仿宋简体"/>
          <w:b/>
          <w:bCs/>
          <w:color w:val="auto"/>
          <w:sz w:val="32"/>
          <w:szCs w:val="32"/>
          <w:highlight w:val="none"/>
        </w:rPr>
        <w:t>%；住房保障支出</w:t>
      </w:r>
      <w:r>
        <w:rPr>
          <w:rFonts w:hint="eastAsia" w:ascii="方正仿宋简体" w:hAnsi="方正仿宋简体" w:eastAsia="方正仿宋简体" w:cs="方正仿宋简体"/>
          <w:b/>
          <w:bCs/>
          <w:color w:val="auto"/>
          <w:sz w:val="32"/>
          <w:szCs w:val="32"/>
          <w:highlight w:val="none"/>
          <w:lang w:val="en-US" w:eastAsia="zh-CN"/>
        </w:rPr>
        <w:t>779.11</w:t>
      </w:r>
      <w:r>
        <w:rPr>
          <w:rFonts w:hint="eastAsia" w:ascii="方正仿宋简体" w:hAnsi="方正仿宋简体" w:eastAsia="方正仿宋简体" w:cs="方正仿宋简体"/>
          <w:b/>
          <w:bCs/>
          <w:color w:val="auto"/>
          <w:sz w:val="32"/>
          <w:szCs w:val="32"/>
          <w:highlight w:val="none"/>
        </w:rPr>
        <w:t>万元，占</w:t>
      </w:r>
      <w:r>
        <w:rPr>
          <w:rFonts w:hint="eastAsia" w:ascii="方正仿宋简体" w:hAnsi="方正仿宋简体" w:eastAsia="方正仿宋简体" w:cs="方正仿宋简体"/>
          <w:b/>
          <w:bCs/>
          <w:color w:val="auto"/>
          <w:sz w:val="32"/>
          <w:szCs w:val="32"/>
          <w:highlight w:val="none"/>
          <w:lang w:val="en-US" w:eastAsia="zh-CN"/>
        </w:rPr>
        <w:t>5.80</w:t>
      </w:r>
      <w:r>
        <w:rPr>
          <w:rFonts w:hint="eastAsia" w:ascii="方正仿宋简体" w:hAnsi="方正仿宋简体" w:eastAsia="方正仿宋简体" w:cs="方正仿宋简体"/>
          <w:b/>
          <w:bCs/>
          <w:color w:val="auto"/>
          <w:sz w:val="32"/>
          <w:szCs w:val="32"/>
          <w:highlight w:val="none"/>
        </w:rPr>
        <w:t>%。</w:t>
      </w:r>
    </w:p>
    <w:p>
      <w:pPr>
        <w:pStyle w:val="2"/>
        <w:rPr>
          <w:rFonts w:ascii="仿宋" w:hAnsi="仿宋" w:eastAsia="仿宋"/>
          <w:b/>
          <w:bCs/>
          <w:color w:val="auto"/>
          <w:sz w:val="32"/>
          <w:szCs w:val="32"/>
          <w:highlight w:val="none"/>
        </w:rPr>
      </w:pPr>
    </w:p>
    <w:p>
      <w:pPr>
        <w:pStyle w:val="2"/>
        <w:rPr>
          <w:rFonts w:hint="eastAsia" w:ascii="方正仿宋简体" w:hAnsi="方正仿宋简体" w:eastAsia="方正仿宋简体" w:cs="方正仿宋简体"/>
          <w:b/>
          <w:bCs/>
          <w:color w:val="auto"/>
          <w:sz w:val="28"/>
          <w:szCs w:val="28"/>
          <w:highlight w:val="none"/>
        </w:rPr>
      </w:pPr>
    </w:p>
    <w:p>
      <w:pPr>
        <w:pStyle w:val="2"/>
        <w:jc w:val="center"/>
        <w:rPr>
          <w:rFonts w:hint="eastAsia" w:ascii="方正仿宋简体" w:hAnsi="方正仿宋简体" w:eastAsia="方正仿宋简体" w:cs="方正仿宋简体"/>
          <w:b/>
          <w:bCs/>
          <w:color w:val="auto"/>
          <w:sz w:val="28"/>
          <w:szCs w:val="28"/>
          <w:highlight w:val="none"/>
        </w:rPr>
      </w:pPr>
      <w:r>
        <w:rPr>
          <w:rFonts w:hint="eastAsia" w:ascii="方正仿宋简体" w:hAnsi="方正仿宋简体" w:eastAsia="方正仿宋简体" w:cs="方正仿宋简体"/>
          <w:b/>
          <w:bCs/>
          <w:color w:val="auto"/>
          <w:sz w:val="28"/>
          <w:szCs w:val="28"/>
          <w:highlight w:val="none"/>
        </w:rPr>
        <w:drawing>
          <wp:anchor distT="0" distB="0" distL="114300" distR="114300" simplePos="0" relativeHeight="251664384" behindDoc="0" locked="0" layoutInCell="1" allowOverlap="1">
            <wp:simplePos x="0" y="0"/>
            <wp:positionH relativeFrom="column">
              <wp:posOffset>93345</wp:posOffset>
            </wp:positionH>
            <wp:positionV relativeFrom="paragraph">
              <wp:posOffset>243840</wp:posOffset>
            </wp:positionV>
            <wp:extent cx="5086350" cy="2743200"/>
            <wp:effectExtent l="4445" t="4445" r="14605" b="14605"/>
            <wp:wrapSquare wrapText="bothSides"/>
            <wp:docPr id="1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hint="eastAsia" w:ascii="方正仿宋简体" w:hAnsi="方正仿宋简体" w:eastAsia="方正仿宋简体" w:cs="方正仿宋简体"/>
          <w:b/>
          <w:bCs/>
          <w:color w:val="auto"/>
          <w:sz w:val="28"/>
          <w:szCs w:val="28"/>
          <w:highlight w:val="none"/>
        </w:rPr>
        <w:t>图6：一般公共预算财政拨款支出决算结构</w:t>
      </w:r>
    </w:p>
    <w:p>
      <w:pPr>
        <w:spacing w:line="600" w:lineRule="exact"/>
        <w:ind w:firstLine="643" w:firstLineChars="200"/>
        <w:outlineLvl w:val="2"/>
        <w:rPr>
          <w:rFonts w:hint="eastAsia" w:ascii="方正楷体简体" w:hAnsi="方正楷体简体" w:eastAsia="方正楷体简体" w:cs="方正楷体简体"/>
          <w:b/>
          <w:bCs/>
          <w:color w:val="auto"/>
          <w:sz w:val="32"/>
          <w:szCs w:val="32"/>
          <w:highlight w:val="none"/>
        </w:rPr>
      </w:pPr>
      <w:bookmarkStart w:id="34" w:name="_Toc15377212"/>
      <w:r>
        <w:rPr>
          <w:rFonts w:hint="eastAsia" w:ascii="方正楷体简体" w:hAnsi="方正楷体简体" w:eastAsia="方正楷体简体" w:cs="方正楷体简体"/>
          <w:b/>
          <w:bCs/>
          <w:color w:val="auto"/>
          <w:sz w:val="32"/>
          <w:szCs w:val="32"/>
          <w:highlight w:val="none"/>
        </w:rPr>
        <w:t>（三）一般公共预算财政拨款支出决算具体情况</w:t>
      </w:r>
      <w:bookmarkEnd w:id="34"/>
    </w:p>
    <w:p>
      <w:pPr>
        <w:spacing w:line="600" w:lineRule="exact"/>
        <w:ind w:firstLine="643" w:firstLineChars="200"/>
        <w:outlineLvl w:val="2"/>
        <w:rPr>
          <w:rFonts w:hint="eastAsia" w:ascii="方正仿宋简体" w:hAnsi="方正仿宋简体" w:eastAsia="方正仿宋简体" w:cs="方正仿宋简体"/>
          <w:b/>
          <w:bCs/>
          <w:color w:val="auto"/>
          <w:sz w:val="32"/>
          <w:szCs w:val="32"/>
          <w:highlight w:val="none"/>
        </w:rPr>
      </w:pPr>
      <w:bookmarkStart w:id="35" w:name="_Toc15377213"/>
      <w:bookmarkStart w:id="36" w:name="_Toc15377444"/>
      <w:bookmarkStart w:id="37" w:name="_Toc15378460"/>
      <w:r>
        <w:rPr>
          <w:rFonts w:hint="eastAsia" w:ascii="方正仿宋简体" w:hAnsi="方正仿宋简体" w:eastAsia="方正仿宋简体" w:cs="方正仿宋简体"/>
          <w:b/>
          <w:bCs/>
          <w:color w:val="auto"/>
          <w:sz w:val="32"/>
          <w:szCs w:val="32"/>
          <w:highlight w:val="none"/>
        </w:rPr>
        <w:t>20</w:t>
      </w:r>
      <w:r>
        <w:rPr>
          <w:rFonts w:hint="eastAsia" w:ascii="方正仿宋简体" w:hAnsi="方正仿宋简体" w:eastAsia="方正仿宋简体" w:cs="方正仿宋简体"/>
          <w:b/>
          <w:bCs/>
          <w:color w:val="auto"/>
          <w:sz w:val="32"/>
          <w:szCs w:val="32"/>
          <w:highlight w:val="none"/>
          <w:lang w:val="en-US" w:eastAsia="zh-CN"/>
        </w:rPr>
        <w:t>20</w:t>
      </w:r>
      <w:r>
        <w:rPr>
          <w:rFonts w:hint="eastAsia" w:ascii="方正仿宋简体" w:hAnsi="方正仿宋简体" w:eastAsia="方正仿宋简体" w:cs="方正仿宋简体"/>
          <w:b/>
          <w:bCs/>
          <w:color w:val="auto"/>
          <w:sz w:val="32"/>
          <w:szCs w:val="32"/>
          <w:highlight w:val="none"/>
        </w:rPr>
        <w:t>年</w:t>
      </w:r>
      <w:r>
        <w:rPr>
          <w:rFonts w:hint="eastAsia" w:ascii="方正仿宋简体" w:hAnsi="方正仿宋简体" w:eastAsia="方正仿宋简体" w:cs="方正仿宋简体"/>
          <w:b/>
          <w:bCs/>
          <w:color w:val="auto"/>
          <w:sz w:val="32"/>
          <w:szCs w:val="32"/>
          <w:highlight w:val="none"/>
          <w:lang w:eastAsia="zh-CN"/>
        </w:rPr>
        <w:t>一</w:t>
      </w:r>
      <w:r>
        <w:rPr>
          <w:rFonts w:hint="eastAsia" w:ascii="方正仿宋简体" w:hAnsi="方正仿宋简体" w:eastAsia="方正仿宋简体" w:cs="方正仿宋简体"/>
          <w:b/>
          <w:bCs/>
          <w:color w:val="auto"/>
          <w:sz w:val="32"/>
          <w:szCs w:val="32"/>
          <w:highlight w:val="none"/>
        </w:rPr>
        <w:t>般公共预算支出决算数为</w:t>
      </w:r>
      <w:r>
        <w:rPr>
          <w:rFonts w:hint="eastAsia" w:ascii="方正仿宋简体" w:hAnsi="方正仿宋简体" w:eastAsia="方正仿宋简体" w:cs="方正仿宋简体"/>
          <w:b/>
          <w:bCs/>
          <w:color w:val="auto"/>
          <w:sz w:val="32"/>
          <w:szCs w:val="32"/>
          <w:highlight w:val="none"/>
          <w:lang w:val="en-US" w:eastAsia="zh-CN"/>
        </w:rPr>
        <w:t>13437.29万元</w:t>
      </w:r>
      <w:r>
        <w:rPr>
          <w:rFonts w:hint="eastAsia" w:ascii="方正仿宋简体" w:hAnsi="方正仿宋简体" w:eastAsia="方正仿宋简体" w:cs="方正仿宋简体"/>
          <w:b/>
          <w:bCs/>
          <w:color w:val="auto"/>
          <w:sz w:val="32"/>
          <w:szCs w:val="32"/>
          <w:highlight w:val="none"/>
        </w:rPr>
        <w:t>，</w:t>
      </w:r>
      <w:r>
        <w:rPr>
          <w:rStyle w:val="14"/>
          <w:rFonts w:hint="eastAsia" w:ascii="方正仿宋简体" w:hAnsi="方正仿宋简体" w:eastAsia="方正仿宋简体" w:cs="方正仿宋简体"/>
          <w:b/>
          <w:bCs/>
          <w:color w:val="auto"/>
          <w:sz w:val="32"/>
          <w:szCs w:val="32"/>
          <w:highlight w:val="none"/>
        </w:rPr>
        <w:t>完成预算</w:t>
      </w:r>
      <w:r>
        <w:rPr>
          <w:rStyle w:val="14"/>
          <w:rFonts w:hint="eastAsia" w:ascii="方正仿宋简体" w:hAnsi="方正仿宋简体" w:eastAsia="方正仿宋简体" w:cs="方正仿宋简体"/>
          <w:b/>
          <w:bCs/>
          <w:color w:val="auto"/>
          <w:sz w:val="32"/>
          <w:szCs w:val="32"/>
          <w:highlight w:val="none"/>
          <w:lang w:val="en-US" w:eastAsia="zh-CN"/>
        </w:rPr>
        <w:t>100</w:t>
      </w:r>
      <w:r>
        <w:rPr>
          <w:rStyle w:val="14"/>
          <w:rFonts w:hint="eastAsia" w:ascii="方正仿宋简体" w:hAnsi="方正仿宋简体" w:eastAsia="方正仿宋简体" w:cs="方正仿宋简体"/>
          <w:b/>
          <w:bCs/>
          <w:color w:val="auto"/>
          <w:sz w:val="32"/>
          <w:szCs w:val="32"/>
          <w:highlight w:val="none"/>
        </w:rPr>
        <w:t>%。其中：</w:t>
      </w:r>
      <w:bookmarkEnd w:id="35"/>
      <w:bookmarkEnd w:id="36"/>
      <w:bookmarkEnd w:id="37"/>
    </w:p>
    <w:p>
      <w:pPr>
        <w:numPr>
          <w:ilvl w:val="0"/>
          <w:numId w:val="0"/>
        </w:numPr>
        <w:spacing w:line="600" w:lineRule="exact"/>
        <w:ind w:firstLine="643" w:firstLineChars="200"/>
        <w:rPr>
          <w:rStyle w:val="14"/>
          <w:rFonts w:hint="eastAsia" w:ascii="方正仿宋简体" w:hAnsi="方正仿宋简体" w:eastAsia="方正仿宋简体" w:cs="方正仿宋简体"/>
          <w:b/>
          <w:bCs/>
          <w:color w:val="auto"/>
          <w:sz w:val="32"/>
          <w:szCs w:val="32"/>
          <w:highlight w:val="none"/>
          <w:lang w:val="en-US" w:eastAsia="zh-CN"/>
        </w:rPr>
      </w:pPr>
      <w:r>
        <w:rPr>
          <w:rStyle w:val="14"/>
          <w:rFonts w:hint="eastAsia" w:ascii="方正仿宋简体" w:hAnsi="方正仿宋简体" w:eastAsia="方正仿宋简体" w:cs="方正仿宋简体"/>
          <w:b/>
          <w:bCs/>
          <w:color w:val="auto"/>
          <w:sz w:val="32"/>
          <w:szCs w:val="32"/>
          <w:highlight w:val="none"/>
          <w:lang w:val="en-US" w:eastAsia="zh-CN"/>
        </w:rPr>
        <w:t>1.</w:t>
      </w:r>
      <w:r>
        <w:rPr>
          <w:rStyle w:val="14"/>
          <w:rFonts w:hint="eastAsia" w:ascii="方正仿宋简体" w:hAnsi="方正仿宋简体" w:eastAsia="方正仿宋简体" w:cs="方正仿宋简体"/>
          <w:b/>
          <w:bCs/>
          <w:color w:val="auto"/>
          <w:sz w:val="32"/>
          <w:szCs w:val="32"/>
          <w:highlight w:val="none"/>
        </w:rPr>
        <w:t>一般公共服务（类）</w:t>
      </w:r>
      <w:r>
        <w:rPr>
          <w:rStyle w:val="14"/>
          <w:rFonts w:hint="eastAsia" w:ascii="方正仿宋简体" w:hAnsi="方正仿宋简体" w:eastAsia="方正仿宋简体" w:cs="方正仿宋简体"/>
          <w:b/>
          <w:bCs/>
          <w:color w:val="auto"/>
          <w:sz w:val="32"/>
          <w:szCs w:val="32"/>
          <w:highlight w:val="none"/>
          <w:lang w:eastAsia="zh-CN"/>
        </w:rPr>
        <w:t>人大事务</w:t>
      </w:r>
      <w:r>
        <w:rPr>
          <w:rStyle w:val="14"/>
          <w:rFonts w:hint="eastAsia" w:ascii="方正仿宋简体" w:hAnsi="方正仿宋简体" w:eastAsia="方正仿宋简体" w:cs="方正仿宋简体"/>
          <w:b/>
          <w:bCs/>
          <w:color w:val="auto"/>
          <w:sz w:val="32"/>
          <w:szCs w:val="32"/>
          <w:highlight w:val="none"/>
        </w:rPr>
        <w:t>（款）</w:t>
      </w:r>
      <w:r>
        <w:rPr>
          <w:rStyle w:val="14"/>
          <w:rFonts w:hint="eastAsia" w:ascii="方正仿宋简体" w:hAnsi="方正仿宋简体" w:eastAsia="方正仿宋简体" w:cs="方正仿宋简体"/>
          <w:b/>
          <w:bCs/>
          <w:color w:val="auto"/>
          <w:sz w:val="32"/>
          <w:szCs w:val="32"/>
          <w:highlight w:val="none"/>
          <w:lang w:eastAsia="zh-CN"/>
        </w:rPr>
        <w:t>行政运行</w:t>
      </w:r>
      <w:r>
        <w:rPr>
          <w:rStyle w:val="14"/>
          <w:rFonts w:hint="eastAsia" w:ascii="方正仿宋简体" w:hAnsi="方正仿宋简体" w:eastAsia="方正仿宋简体" w:cs="方正仿宋简体"/>
          <w:b/>
          <w:bCs/>
          <w:color w:val="auto"/>
          <w:sz w:val="32"/>
          <w:szCs w:val="32"/>
          <w:highlight w:val="none"/>
        </w:rPr>
        <w:t>（项）: 支出决算为</w:t>
      </w:r>
      <w:r>
        <w:rPr>
          <w:rStyle w:val="14"/>
          <w:rFonts w:hint="eastAsia" w:ascii="方正仿宋简体" w:hAnsi="方正仿宋简体" w:eastAsia="方正仿宋简体" w:cs="方正仿宋简体"/>
          <w:b/>
          <w:bCs/>
          <w:color w:val="auto"/>
          <w:sz w:val="32"/>
          <w:szCs w:val="32"/>
          <w:highlight w:val="none"/>
          <w:lang w:val="en-US" w:eastAsia="zh-CN"/>
        </w:rPr>
        <w:t>5822.57</w:t>
      </w:r>
      <w:r>
        <w:rPr>
          <w:rStyle w:val="14"/>
          <w:rFonts w:hint="eastAsia" w:ascii="方正仿宋简体" w:hAnsi="方正仿宋简体" w:eastAsia="方正仿宋简体" w:cs="方正仿宋简体"/>
          <w:b/>
          <w:bCs/>
          <w:color w:val="auto"/>
          <w:sz w:val="32"/>
          <w:szCs w:val="32"/>
          <w:highlight w:val="none"/>
        </w:rPr>
        <w:t>万元，完成预算</w:t>
      </w:r>
      <w:r>
        <w:rPr>
          <w:rStyle w:val="14"/>
          <w:rFonts w:hint="eastAsia" w:ascii="方正仿宋简体" w:hAnsi="方正仿宋简体" w:eastAsia="方正仿宋简体" w:cs="方正仿宋简体"/>
          <w:b/>
          <w:bCs/>
          <w:color w:val="auto"/>
          <w:sz w:val="32"/>
          <w:szCs w:val="32"/>
          <w:highlight w:val="none"/>
          <w:lang w:val="en-US" w:eastAsia="zh-CN"/>
        </w:rPr>
        <w:t>100</w:t>
      </w:r>
      <w:r>
        <w:rPr>
          <w:rStyle w:val="14"/>
          <w:rFonts w:hint="eastAsia" w:ascii="方正仿宋简体" w:hAnsi="方正仿宋简体" w:eastAsia="方正仿宋简体" w:cs="方正仿宋简体"/>
          <w:b/>
          <w:bCs/>
          <w:color w:val="auto"/>
          <w:sz w:val="32"/>
          <w:szCs w:val="32"/>
          <w:highlight w:val="none"/>
        </w:rPr>
        <w:t>%</w:t>
      </w:r>
      <w:r>
        <w:rPr>
          <w:rStyle w:val="14"/>
          <w:rFonts w:hint="eastAsia" w:ascii="方正仿宋简体" w:hAnsi="方正仿宋简体" w:eastAsia="方正仿宋简体" w:cs="方正仿宋简体"/>
          <w:b/>
          <w:bCs/>
          <w:color w:val="auto"/>
          <w:sz w:val="32"/>
          <w:szCs w:val="32"/>
          <w:highlight w:val="none"/>
          <w:lang w:eastAsia="zh-CN"/>
        </w:rPr>
        <w:t>；一般行政管理事务</w:t>
      </w:r>
      <w:r>
        <w:rPr>
          <w:rStyle w:val="14"/>
          <w:rFonts w:hint="eastAsia" w:ascii="方正仿宋简体" w:hAnsi="方正仿宋简体" w:eastAsia="方正仿宋简体" w:cs="方正仿宋简体"/>
          <w:b/>
          <w:bCs/>
          <w:color w:val="auto"/>
          <w:sz w:val="32"/>
          <w:szCs w:val="32"/>
          <w:highlight w:val="none"/>
        </w:rPr>
        <w:t>（项）: 支出决算为</w:t>
      </w:r>
      <w:r>
        <w:rPr>
          <w:rStyle w:val="14"/>
          <w:rFonts w:hint="eastAsia" w:ascii="方正仿宋简体" w:hAnsi="方正仿宋简体" w:eastAsia="方正仿宋简体" w:cs="方正仿宋简体"/>
          <w:b/>
          <w:bCs/>
          <w:color w:val="auto"/>
          <w:sz w:val="32"/>
          <w:szCs w:val="32"/>
          <w:highlight w:val="none"/>
          <w:lang w:val="en-US" w:eastAsia="zh-CN"/>
        </w:rPr>
        <w:t>2212.21</w:t>
      </w:r>
      <w:r>
        <w:rPr>
          <w:rStyle w:val="14"/>
          <w:rFonts w:hint="eastAsia" w:ascii="方正仿宋简体" w:hAnsi="方正仿宋简体" w:eastAsia="方正仿宋简体" w:cs="方正仿宋简体"/>
          <w:b/>
          <w:bCs/>
          <w:color w:val="auto"/>
          <w:sz w:val="32"/>
          <w:szCs w:val="32"/>
          <w:highlight w:val="none"/>
        </w:rPr>
        <w:t>万元，完成预算</w:t>
      </w:r>
      <w:r>
        <w:rPr>
          <w:rStyle w:val="14"/>
          <w:rFonts w:hint="eastAsia" w:ascii="方正仿宋简体" w:hAnsi="方正仿宋简体" w:eastAsia="方正仿宋简体" w:cs="方正仿宋简体"/>
          <w:b/>
          <w:bCs/>
          <w:color w:val="auto"/>
          <w:sz w:val="32"/>
          <w:szCs w:val="32"/>
          <w:highlight w:val="none"/>
          <w:lang w:val="en-US" w:eastAsia="zh-CN"/>
        </w:rPr>
        <w:t>100</w:t>
      </w:r>
      <w:r>
        <w:rPr>
          <w:rStyle w:val="14"/>
          <w:rFonts w:hint="eastAsia" w:ascii="方正仿宋简体" w:hAnsi="方正仿宋简体" w:eastAsia="方正仿宋简体" w:cs="方正仿宋简体"/>
          <w:b/>
          <w:bCs/>
          <w:color w:val="auto"/>
          <w:sz w:val="32"/>
          <w:szCs w:val="32"/>
          <w:highlight w:val="none"/>
        </w:rPr>
        <w:t>%</w:t>
      </w:r>
      <w:r>
        <w:rPr>
          <w:rStyle w:val="14"/>
          <w:rFonts w:hint="eastAsia" w:ascii="方正仿宋简体" w:hAnsi="方正仿宋简体" w:eastAsia="方正仿宋简体" w:cs="方正仿宋简体"/>
          <w:b/>
          <w:bCs/>
          <w:color w:val="auto"/>
          <w:sz w:val="32"/>
          <w:szCs w:val="32"/>
          <w:highlight w:val="none"/>
          <w:lang w:eastAsia="zh-CN"/>
        </w:rPr>
        <w:t>；机关服务（项）：支出决算</w:t>
      </w:r>
      <w:r>
        <w:rPr>
          <w:rStyle w:val="14"/>
          <w:rFonts w:hint="eastAsia" w:ascii="方正仿宋简体" w:hAnsi="方正仿宋简体" w:eastAsia="方正仿宋简体" w:cs="方正仿宋简体"/>
          <w:b/>
          <w:bCs/>
          <w:color w:val="auto"/>
          <w:sz w:val="32"/>
          <w:szCs w:val="32"/>
          <w:highlight w:val="none"/>
          <w:lang w:val="en-US" w:eastAsia="zh-CN"/>
        </w:rPr>
        <w:t>462.87万元，</w:t>
      </w:r>
      <w:r>
        <w:rPr>
          <w:rStyle w:val="14"/>
          <w:rFonts w:hint="eastAsia" w:ascii="方正仿宋简体" w:hAnsi="方正仿宋简体" w:eastAsia="方正仿宋简体" w:cs="方正仿宋简体"/>
          <w:b/>
          <w:bCs/>
          <w:color w:val="auto"/>
          <w:sz w:val="32"/>
          <w:szCs w:val="32"/>
          <w:highlight w:val="none"/>
        </w:rPr>
        <w:t>完成预算</w:t>
      </w:r>
      <w:r>
        <w:rPr>
          <w:rStyle w:val="14"/>
          <w:rFonts w:hint="eastAsia" w:ascii="方正仿宋简体" w:hAnsi="方正仿宋简体" w:eastAsia="方正仿宋简体" w:cs="方正仿宋简体"/>
          <w:b/>
          <w:bCs/>
          <w:color w:val="auto"/>
          <w:sz w:val="32"/>
          <w:szCs w:val="32"/>
          <w:highlight w:val="none"/>
          <w:lang w:val="en-US" w:eastAsia="zh-CN"/>
        </w:rPr>
        <w:t>100</w:t>
      </w:r>
      <w:r>
        <w:rPr>
          <w:rStyle w:val="14"/>
          <w:rFonts w:hint="eastAsia" w:ascii="方正仿宋简体" w:hAnsi="方正仿宋简体" w:eastAsia="方正仿宋简体" w:cs="方正仿宋简体"/>
          <w:b/>
          <w:bCs/>
          <w:color w:val="auto"/>
          <w:sz w:val="32"/>
          <w:szCs w:val="32"/>
          <w:highlight w:val="none"/>
        </w:rPr>
        <w:t>%</w:t>
      </w:r>
      <w:r>
        <w:rPr>
          <w:rStyle w:val="14"/>
          <w:rFonts w:hint="eastAsia" w:ascii="方正仿宋简体" w:hAnsi="方正仿宋简体" w:eastAsia="方正仿宋简体" w:cs="方正仿宋简体"/>
          <w:b/>
          <w:bCs/>
          <w:color w:val="auto"/>
          <w:sz w:val="32"/>
          <w:szCs w:val="32"/>
          <w:highlight w:val="none"/>
          <w:lang w:eastAsia="zh-CN"/>
        </w:rPr>
        <w:t>；人大会议（项）：支出决算</w:t>
      </w:r>
      <w:r>
        <w:rPr>
          <w:rStyle w:val="14"/>
          <w:rFonts w:hint="eastAsia" w:ascii="方正仿宋简体" w:hAnsi="方正仿宋简体" w:eastAsia="方正仿宋简体" w:cs="方正仿宋简体"/>
          <w:b/>
          <w:bCs/>
          <w:color w:val="auto"/>
          <w:sz w:val="32"/>
          <w:szCs w:val="32"/>
          <w:highlight w:val="none"/>
          <w:lang w:val="en-US" w:eastAsia="zh-CN"/>
        </w:rPr>
        <w:t>1336.22万元，</w:t>
      </w:r>
      <w:r>
        <w:rPr>
          <w:rStyle w:val="14"/>
          <w:rFonts w:hint="eastAsia" w:ascii="方正仿宋简体" w:hAnsi="方正仿宋简体" w:eastAsia="方正仿宋简体" w:cs="方正仿宋简体"/>
          <w:b/>
          <w:bCs/>
          <w:color w:val="auto"/>
          <w:sz w:val="32"/>
          <w:szCs w:val="32"/>
          <w:highlight w:val="none"/>
        </w:rPr>
        <w:t>完成预算</w:t>
      </w:r>
      <w:r>
        <w:rPr>
          <w:rStyle w:val="14"/>
          <w:rFonts w:hint="eastAsia" w:ascii="方正仿宋简体" w:hAnsi="方正仿宋简体" w:eastAsia="方正仿宋简体" w:cs="方正仿宋简体"/>
          <w:b/>
          <w:bCs/>
          <w:color w:val="auto"/>
          <w:sz w:val="32"/>
          <w:szCs w:val="32"/>
          <w:highlight w:val="none"/>
          <w:lang w:val="en-US" w:eastAsia="zh-CN"/>
        </w:rPr>
        <w:t>100</w:t>
      </w:r>
      <w:r>
        <w:rPr>
          <w:rStyle w:val="14"/>
          <w:rFonts w:hint="eastAsia" w:ascii="方正仿宋简体" w:hAnsi="方正仿宋简体" w:eastAsia="方正仿宋简体" w:cs="方正仿宋简体"/>
          <w:b/>
          <w:bCs/>
          <w:color w:val="auto"/>
          <w:sz w:val="32"/>
          <w:szCs w:val="32"/>
          <w:highlight w:val="none"/>
        </w:rPr>
        <w:t>%</w:t>
      </w:r>
      <w:r>
        <w:rPr>
          <w:rStyle w:val="14"/>
          <w:rFonts w:hint="eastAsia" w:ascii="方正仿宋简体" w:hAnsi="方正仿宋简体" w:eastAsia="方正仿宋简体" w:cs="方正仿宋简体"/>
          <w:b/>
          <w:bCs/>
          <w:color w:val="auto"/>
          <w:sz w:val="32"/>
          <w:szCs w:val="32"/>
          <w:highlight w:val="none"/>
          <w:lang w:eastAsia="zh-CN"/>
        </w:rPr>
        <w:t>；人大立法（项）：支出决算</w:t>
      </w:r>
      <w:r>
        <w:rPr>
          <w:rStyle w:val="14"/>
          <w:rFonts w:hint="eastAsia" w:ascii="方正仿宋简体" w:hAnsi="方正仿宋简体" w:eastAsia="方正仿宋简体" w:cs="方正仿宋简体"/>
          <w:b/>
          <w:bCs/>
          <w:color w:val="auto"/>
          <w:sz w:val="32"/>
          <w:szCs w:val="32"/>
          <w:highlight w:val="none"/>
          <w:lang w:val="en-US" w:eastAsia="zh-CN"/>
        </w:rPr>
        <w:t>209.77万元，</w:t>
      </w:r>
      <w:r>
        <w:rPr>
          <w:rStyle w:val="14"/>
          <w:rFonts w:hint="eastAsia" w:ascii="方正仿宋简体" w:hAnsi="方正仿宋简体" w:eastAsia="方正仿宋简体" w:cs="方正仿宋简体"/>
          <w:b/>
          <w:bCs/>
          <w:color w:val="auto"/>
          <w:sz w:val="32"/>
          <w:szCs w:val="32"/>
          <w:highlight w:val="none"/>
        </w:rPr>
        <w:t>完成预算</w:t>
      </w:r>
      <w:r>
        <w:rPr>
          <w:rStyle w:val="14"/>
          <w:rFonts w:hint="eastAsia" w:ascii="方正仿宋简体" w:hAnsi="方正仿宋简体" w:eastAsia="方正仿宋简体" w:cs="方正仿宋简体"/>
          <w:b/>
          <w:bCs/>
          <w:color w:val="auto"/>
          <w:sz w:val="32"/>
          <w:szCs w:val="32"/>
          <w:highlight w:val="none"/>
          <w:lang w:val="en-US" w:eastAsia="zh-CN"/>
        </w:rPr>
        <w:t>100</w:t>
      </w:r>
      <w:r>
        <w:rPr>
          <w:rStyle w:val="14"/>
          <w:rFonts w:hint="eastAsia" w:ascii="方正仿宋简体" w:hAnsi="方正仿宋简体" w:eastAsia="方正仿宋简体" w:cs="方正仿宋简体"/>
          <w:b/>
          <w:bCs/>
          <w:color w:val="auto"/>
          <w:sz w:val="32"/>
          <w:szCs w:val="32"/>
          <w:highlight w:val="none"/>
        </w:rPr>
        <w:t>%</w:t>
      </w:r>
      <w:r>
        <w:rPr>
          <w:rStyle w:val="14"/>
          <w:rFonts w:hint="eastAsia" w:ascii="方正仿宋简体" w:hAnsi="方正仿宋简体" w:eastAsia="方正仿宋简体" w:cs="方正仿宋简体"/>
          <w:b/>
          <w:bCs/>
          <w:color w:val="auto"/>
          <w:sz w:val="32"/>
          <w:szCs w:val="32"/>
          <w:highlight w:val="none"/>
          <w:lang w:eastAsia="zh-CN"/>
        </w:rPr>
        <w:t>；人大监督（项）：支出决算</w:t>
      </w:r>
      <w:r>
        <w:rPr>
          <w:rStyle w:val="14"/>
          <w:rFonts w:hint="eastAsia" w:ascii="方正仿宋简体" w:hAnsi="方正仿宋简体" w:eastAsia="方正仿宋简体" w:cs="方正仿宋简体"/>
          <w:b/>
          <w:bCs/>
          <w:color w:val="auto"/>
          <w:sz w:val="32"/>
          <w:szCs w:val="32"/>
          <w:highlight w:val="none"/>
          <w:lang w:val="en-US" w:eastAsia="zh-CN"/>
        </w:rPr>
        <w:t>244.34万元，</w:t>
      </w:r>
      <w:r>
        <w:rPr>
          <w:rStyle w:val="14"/>
          <w:rFonts w:hint="eastAsia" w:ascii="方正仿宋简体" w:hAnsi="方正仿宋简体" w:eastAsia="方正仿宋简体" w:cs="方正仿宋简体"/>
          <w:b/>
          <w:bCs/>
          <w:color w:val="auto"/>
          <w:sz w:val="32"/>
          <w:szCs w:val="32"/>
          <w:highlight w:val="none"/>
        </w:rPr>
        <w:t>完成预算</w:t>
      </w:r>
      <w:r>
        <w:rPr>
          <w:rStyle w:val="14"/>
          <w:rFonts w:hint="eastAsia" w:ascii="方正仿宋简体" w:hAnsi="方正仿宋简体" w:eastAsia="方正仿宋简体" w:cs="方正仿宋简体"/>
          <w:b/>
          <w:bCs/>
          <w:color w:val="auto"/>
          <w:sz w:val="32"/>
          <w:szCs w:val="32"/>
          <w:highlight w:val="none"/>
          <w:lang w:val="en-US" w:eastAsia="zh-CN"/>
        </w:rPr>
        <w:t>100</w:t>
      </w:r>
      <w:r>
        <w:rPr>
          <w:rStyle w:val="14"/>
          <w:rFonts w:hint="eastAsia" w:ascii="方正仿宋简体" w:hAnsi="方正仿宋简体" w:eastAsia="方正仿宋简体" w:cs="方正仿宋简体"/>
          <w:b/>
          <w:bCs/>
          <w:color w:val="auto"/>
          <w:sz w:val="32"/>
          <w:szCs w:val="32"/>
          <w:highlight w:val="none"/>
        </w:rPr>
        <w:t>%</w:t>
      </w:r>
      <w:r>
        <w:rPr>
          <w:rStyle w:val="14"/>
          <w:rFonts w:hint="eastAsia" w:ascii="方正仿宋简体" w:hAnsi="方正仿宋简体" w:eastAsia="方正仿宋简体" w:cs="方正仿宋简体"/>
          <w:b/>
          <w:bCs/>
          <w:color w:val="auto"/>
          <w:sz w:val="32"/>
          <w:szCs w:val="32"/>
          <w:highlight w:val="none"/>
          <w:lang w:eastAsia="zh-CN"/>
        </w:rPr>
        <w:t>；人大代表履职能力提升（项）：支出决算</w:t>
      </w:r>
      <w:r>
        <w:rPr>
          <w:rStyle w:val="14"/>
          <w:rFonts w:hint="eastAsia" w:ascii="方正仿宋简体" w:hAnsi="方正仿宋简体" w:eastAsia="方正仿宋简体" w:cs="方正仿宋简体"/>
          <w:b/>
          <w:bCs/>
          <w:color w:val="auto"/>
          <w:sz w:val="32"/>
          <w:szCs w:val="32"/>
          <w:highlight w:val="none"/>
          <w:lang w:val="en-US" w:eastAsia="zh-CN"/>
        </w:rPr>
        <w:t>398.47万元，</w:t>
      </w:r>
      <w:r>
        <w:rPr>
          <w:rStyle w:val="14"/>
          <w:rFonts w:hint="eastAsia" w:ascii="方正仿宋简体" w:hAnsi="方正仿宋简体" w:eastAsia="方正仿宋简体" w:cs="方正仿宋简体"/>
          <w:b/>
          <w:bCs/>
          <w:color w:val="auto"/>
          <w:sz w:val="32"/>
          <w:szCs w:val="32"/>
          <w:highlight w:val="none"/>
        </w:rPr>
        <w:t>完成预算</w:t>
      </w:r>
      <w:r>
        <w:rPr>
          <w:rStyle w:val="14"/>
          <w:rFonts w:hint="eastAsia" w:ascii="方正仿宋简体" w:hAnsi="方正仿宋简体" w:eastAsia="方正仿宋简体" w:cs="方正仿宋简体"/>
          <w:b/>
          <w:bCs/>
          <w:color w:val="auto"/>
          <w:sz w:val="32"/>
          <w:szCs w:val="32"/>
          <w:highlight w:val="none"/>
          <w:lang w:val="en-US" w:eastAsia="zh-CN"/>
        </w:rPr>
        <w:t>100</w:t>
      </w:r>
      <w:r>
        <w:rPr>
          <w:rStyle w:val="14"/>
          <w:rFonts w:hint="eastAsia" w:ascii="方正仿宋简体" w:hAnsi="方正仿宋简体" w:eastAsia="方正仿宋简体" w:cs="方正仿宋简体"/>
          <w:b/>
          <w:bCs/>
          <w:color w:val="auto"/>
          <w:sz w:val="32"/>
          <w:szCs w:val="32"/>
          <w:highlight w:val="none"/>
        </w:rPr>
        <w:t>%</w:t>
      </w:r>
      <w:r>
        <w:rPr>
          <w:rStyle w:val="14"/>
          <w:rFonts w:hint="eastAsia" w:ascii="方正仿宋简体" w:hAnsi="方正仿宋简体" w:eastAsia="方正仿宋简体" w:cs="方正仿宋简体"/>
          <w:b/>
          <w:bCs/>
          <w:color w:val="auto"/>
          <w:sz w:val="32"/>
          <w:szCs w:val="32"/>
          <w:highlight w:val="none"/>
          <w:lang w:eastAsia="zh-CN"/>
        </w:rPr>
        <w:t>；代表工作（项）：支出决算</w:t>
      </w:r>
      <w:r>
        <w:rPr>
          <w:rStyle w:val="14"/>
          <w:rFonts w:hint="eastAsia" w:ascii="方正仿宋简体" w:hAnsi="方正仿宋简体" w:eastAsia="方正仿宋简体" w:cs="方正仿宋简体"/>
          <w:b/>
          <w:bCs/>
          <w:color w:val="auto"/>
          <w:sz w:val="32"/>
          <w:szCs w:val="32"/>
          <w:highlight w:val="none"/>
          <w:lang w:val="en-US" w:eastAsia="zh-CN"/>
        </w:rPr>
        <w:t>18万元，</w:t>
      </w:r>
      <w:r>
        <w:rPr>
          <w:rStyle w:val="14"/>
          <w:rFonts w:hint="eastAsia" w:ascii="方正仿宋简体" w:hAnsi="方正仿宋简体" w:eastAsia="方正仿宋简体" w:cs="方正仿宋简体"/>
          <w:b/>
          <w:bCs/>
          <w:color w:val="auto"/>
          <w:sz w:val="32"/>
          <w:szCs w:val="32"/>
          <w:highlight w:val="none"/>
        </w:rPr>
        <w:t>完成预算</w:t>
      </w:r>
      <w:r>
        <w:rPr>
          <w:rStyle w:val="14"/>
          <w:rFonts w:hint="eastAsia" w:ascii="方正仿宋简体" w:hAnsi="方正仿宋简体" w:eastAsia="方正仿宋简体" w:cs="方正仿宋简体"/>
          <w:b/>
          <w:bCs/>
          <w:color w:val="auto"/>
          <w:sz w:val="32"/>
          <w:szCs w:val="32"/>
          <w:highlight w:val="none"/>
          <w:lang w:val="en-US" w:eastAsia="zh-CN"/>
        </w:rPr>
        <w:t>100</w:t>
      </w:r>
      <w:r>
        <w:rPr>
          <w:rStyle w:val="14"/>
          <w:rFonts w:hint="eastAsia" w:ascii="方正仿宋简体" w:hAnsi="方正仿宋简体" w:eastAsia="方正仿宋简体" w:cs="方正仿宋简体"/>
          <w:b/>
          <w:bCs/>
          <w:color w:val="auto"/>
          <w:sz w:val="32"/>
          <w:szCs w:val="32"/>
          <w:highlight w:val="none"/>
        </w:rPr>
        <w:t>%</w:t>
      </w:r>
      <w:r>
        <w:rPr>
          <w:rStyle w:val="14"/>
          <w:rFonts w:hint="eastAsia" w:ascii="方正仿宋简体" w:hAnsi="方正仿宋简体" w:eastAsia="方正仿宋简体" w:cs="方正仿宋简体"/>
          <w:b/>
          <w:bCs/>
          <w:color w:val="auto"/>
          <w:sz w:val="32"/>
          <w:szCs w:val="32"/>
          <w:highlight w:val="none"/>
          <w:lang w:eastAsia="zh-CN"/>
        </w:rPr>
        <w:t>；人大信访工作（项）：支出决算</w:t>
      </w:r>
      <w:r>
        <w:rPr>
          <w:rStyle w:val="14"/>
          <w:rFonts w:hint="eastAsia" w:ascii="方正仿宋简体" w:hAnsi="方正仿宋简体" w:eastAsia="方正仿宋简体" w:cs="方正仿宋简体"/>
          <w:b/>
          <w:bCs/>
          <w:color w:val="auto"/>
          <w:sz w:val="32"/>
          <w:szCs w:val="32"/>
          <w:highlight w:val="none"/>
          <w:lang w:val="en-US" w:eastAsia="zh-CN"/>
        </w:rPr>
        <w:t>43.69万元，</w:t>
      </w:r>
      <w:r>
        <w:rPr>
          <w:rStyle w:val="14"/>
          <w:rFonts w:hint="eastAsia" w:ascii="方正仿宋简体" w:hAnsi="方正仿宋简体" w:eastAsia="方正仿宋简体" w:cs="方正仿宋简体"/>
          <w:b/>
          <w:bCs/>
          <w:color w:val="auto"/>
          <w:sz w:val="32"/>
          <w:szCs w:val="32"/>
          <w:highlight w:val="none"/>
        </w:rPr>
        <w:t>完成预算</w:t>
      </w:r>
      <w:r>
        <w:rPr>
          <w:rStyle w:val="14"/>
          <w:rFonts w:hint="eastAsia" w:ascii="方正仿宋简体" w:hAnsi="方正仿宋简体" w:eastAsia="方正仿宋简体" w:cs="方正仿宋简体"/>
          <w:b/>
          <w:bCs/>
          <w:color w:val="auto"/>
          <w:sz w:val="32"/>
          <w:szCs w:val="32"/>
          <w:highlight w:val="none"/>
          <w:lang w:val="en-US" w:eastAsia="zh-CN"/>
        </w:rPr>
        <w:t>100</w:t>
      </w:r>
      <w:r>
        <w:rPr>
          <w:rStyle w:val="14"/>
          <w:rFonts w:hint="eastAsia" w:ascii="方正仿宋简体" w:hAnsi="方正仿宋简体" w:eastAsia="方正仿宋简体" w:cs="方正仿宋简体"/>
          <w:b/>
          <w:bCs/>
          <w:color w:val="auto"/>
          <w:sz w:val="32"/>
          <w:szCs w:val="32"/>
          <w:highlight w:val="none"/>
        </w:rPr>
        <w:t>%</w:t>
      </w:r>
      <w:r>
        <w:rPr>
          <w:rStyle w:val="14"/>
          <w:rFonts w:hint="eastAsia" w:ascii="方正仿宋简体" w:hAnsi="方正仿宋简体" w:eastAsia="方正仿宋简体" w:cs="方正仿宋简体"/>
          <w:b/>
          <w:bCs/>
          <w:color w:val="auto"/>
          <w:sz w:val="32"/>
          <w:szCs w:val="32"/>
          <w:highlight w:val="none"/>
          <w:lang w:eastAsia="zh-CN"/>
        </w:rPr>
        <w:t>；事业运行（项）：支出决算</w:t>
      </w:r>
      <w:r>
        <w:rPr>
          <w:rStyle w:val="14"/>
          <w:rFonts w:hint="eastAsia" w:ascii="方正仿宋简体" w:hAnsi="方正仿宋简体" w:eastAsia="方正仿宋简体" w:cs="方正仿宋简体"/>
          <w:b/>
          <w:bCs/>
          <w:color w:val="auto"/>
          <w:sz w:val="32"/>
          <w:szCs w:val="32"/>
          <w:highlight w:val="none"/>
          <w:lang w:val="en-US" w:eastAsia="zh-CN"/>
        </w:rPr>
        <w:t>28.02万元，</w:t>
      </w:r>
      <w:r>
        <w:rPr>
          <w:rStyle w:val="14"/>
          <w:rFonts w:hint="eastAsia" w:ascii="方正仿宋简体" w:hAnsi="方正仿宋简体" w:eastAsia="方正仿宋简体" w:cs="方正仿宋简体"/>
          <w:b/>
          <w:bCs/>
          <w:color w:val="auto"/>
          <w:sz w:val="32"/>
          <w:szCs w:val="32"/>
          <w:highlight w:val="none"/>
        </w:rPr>
        <w:t>完成预算</w:t>
      </w:r>
      <w:r>
        <w:rPr>
          <w:rStyle w:val="14"/>
          <w:rFonts w:hint="eastAsia" w:ascii="方正仿宋简体" w:hAnsi="方正仿宋简体" w:eastAsia="方正仿宋简体" w:cs="方正仿宋简体"/>
          <w:b/>
          <w:bCs/>
          <w:color w:val="auto"/>
          <w:sz w:val="32"/>
          <w:szCs w:val="32"/>
          <w:highlight w:val="none"/>
          <w:lang w:val="en-US" w:eastAsia="zh-CN"/>
        </w:rPr>
        <w:t>100</w:t>
      </w:r>
      <w:r>
        <w:rPr>
          <w:rStyle w:val="14"/>
          <w:rFonts w:hint="eastAsia" w:ascii="方正仿宋简体" w:hAnsi="方正仿宋简体" w:eastAsia="方正仿宋简体" w:cs="方正仿宋简体"/>
          <w:b/>
          <w:bCs/>
          <w:color w:val="auto"/>
          <w:sz w:val="32"/>
          <w:szCs w:val="32"/>
          <w:highlight w:val="none"/>
        </w:rPr>
        <w:t>%</w:t>
      </w:r>
      <w:r>
        <w:rPr>
          <w:rStyle w:val="14"/>
          <w:rFonts w:hint="eastAsia" w:ascii="方正仿宋简体" w:hAnsi="方正仿宋简体" w:eastAsia="方正仿宋简体" w:cs="方正仿宋简体"/>
          <w:b/>
          <w:bCs/>
          <w:color w:val="auto"/>
          <w:sz w:val="32"/>
          <w:szCs w:val="32"/>
          <w:highlight w:val="none"/>
          <w:lang w:eastAsia="zh-CN"/>
        </w:rPr>
        <w:t>；其他人大事务支出（项）：支出决算</w:t>
      </w:r>
      <w:r>
        <w:rPr>
          <w:rStyle w:val="14"/>
          <w:rFonts w:hint="eastAsia" w:ascii="方正仿宋简体" w:hAnsi="方正仿宋简体" w:eastAsia="方正仿宋简体" w:cs="方正仿宋简体"/>
          <w:b/>
          <w:bCs/>
          <w:color w:val="auto"/>
          <w:sz w:val="32"/>
          <w:szCs w:val="32"/>
          <w:highlight w:val="none"/>
          <w:lang w:val="en-US" w:eastAsia="zh-CN"/>
        </w:rPr>
        <w:t>255.62万元，</w:t>
      </w:r>
      <w:r>
        <w:rPr>
          <w:rStyle w:val="14"/>
          <w:rFonts w:hint="eastAsia" w:ascii="方正仿宋简体" w:hAnsi="方正仿宋简体" w:eastAsia="方正仿宋简体" w:cs="方正仿宋简体"/>
          <w:b/>
          <w:bCs/>
          <w:color w:val="auto"/>
          <w:sz w:val="32"/>
          <w:szCs w:val="32"/>
          <w:highlight w:val="none"/>
        </w:rPr>
        <w:t>完成预算</w:t>
      </w:r>
      <w:r>
        <w:rPr>
          <w:rStyle w:val="14"/>
          <w:rFonts w:hint="eastAsia" w:ascii="方正仿宋简体" w:hAnsi="方正仿宋简体" w:eastAsia="方正仿宋简体" w:cs="方正仿宋简体"/>
          <w:b/>
          <w:bCs/>
          <w:color w:val="auto"/>
          <w:sz w:val="32"/>
          <w:szCs w:val="32"/>
          <w:highlight w:val="none"/>
          <w:lang w:val="en-US" w:eastAsia="zh-CN"/>
        </w:rPr>
        <w:t>100</w:t>
      </w:r>
      <w:r>
        <w:rPr>
          <w:rStyle w:val="14"/>
          <w:rFonts w:hint="eastAsia" w:ascii="方正仿宋简体" w:hAnsi="方正仿宋简体" w:eastAsia="方正仿宋简体" w:cs="方正仿宋简体"/>
          <w:b/>
          <w:bCs/>
          <w:color w:val="auto"/>
          <w:sz w:val="32"/>
          <w:szCs w:val="32"/>
          <w:highlight w:val="none"/>
        </w:rPr>
        <w:t>%</w:t>
      </w:r>
      <w:r>
        <w:rPr>
          <w:rStyle w:val="14"/>
          <w:rFonts w:hint="eastAsia" w:ascii="方正仿宋简体" w:hAnsi="方正仿宋简体" w:eastAsia="方正仿宋简体" w:cs="方正仿宋简体"/>
          <w:b/>
          <w:bCs/>
          <w:color w:val="auto"/>
          <w:sz w:val="32"/>
          <w:szCs w:val="32"/>
          <w:highlight w:val="none"/>
          <w:lang w:eastAsia="zh-CN"/>
        </w:rPr>
        <w:t>。</w:t>
      </w:r>
    </w:p>
    <w:p>
      <w:pPr>
        <w:spacing w:line="600" w:lineRule="exact"/>
        <w:ind w:firstLine="643" w:firstLineChars="200"/>
        <w:rPr>
          <w:rFonts w:hint="eastAsia" w:ascii="方正仿宋简体" w:hAnsi="方正仿宋简体" w:eastAsia="方正仿宋简体" w:cs="方正仿宋简体"/>
          <w:b/>
          <w:bCs/>
          <w:color w:val="auto"/>
          <w:sz w:val="32"/>
          <w:szCs w:val="32"/>
          <w:highlight w:val="none"/>
        </w:rPr>
      </w:pPr>
      <w:r>
        <w:rPr>
          <w:rStyle w:val="14"/>
          <w:rFonts w:hint="eastAsia" w:ascii="方正仿宋简体" w:hAnsi="方正仿宋简体" w:eastAsia="方正仿宋简体" w:cs="方正仿宋简体"/>
          <w:b/>
          <w:bCs/>
          <w:color w:val="auto"/>
          <w:sz w:val="32"/>
          <w:szCs w:val="32"/>
          <w:highlight w:val="none"/>
        </w:rPr>
        <w:t>2.教育（类）</w:t>
      </w:r>
      <w:r>
        <w:rPr>
          <w:rStyle w:val="14"/>
          <w:rFonts w:hint="eastAsia" w:ascii="方正仿宋简体" w:hAnsi="方正仿宋简体" w:eastAsia="方正仿宋简体" w:cs="方正仿宋简体"/>
          <w:b/>
          <w:bCs/>
          <w:color w:val="auto"/>
          <w:sz w:val="32"/>
          <w:szCs w:val="32"/>
          <w:highlight w:val="none"/>
          <w:lang w:eastAsia="zh-CN"/>
        </w:rPr>
        <w:t>进修及培训</w:t>
      </w:r>
      <w:r>
        <w:rPr>
          <w:rStyle w:val="14"/>
          <w:rFonts w:hint="eastAsia" w:ascii="方正仿宋简体" w:hAnsi="方正仿宋简体" w:eastAsia="方正仿宋简体" w:cs="方正仿宋简体"/>
          <w:b/>
          <w:bCs/>
          <w:color w:val="auto"/>
          <w:sz w:val="32"/>
          <w:szCs w:val="32"/>
          <w:highlight w:val="none"/>
        </w:rPr>
        <w:t>（款）</w:t>
      </w:r>
      <w:r>
        <w:rPr>
          <w:rStyle w:val="14"/>
          <w:rFonts w:hint="eastAsia" w:ascii="方正仿宋简体" w:hAnsi="方正仿宋简体" w:eastAsia="方正仿宋简体" w:cs="方正仿宋简体"/>
          <w:b/>
          <w:bCs/>
          <w:color w:val="auto"/>
          <w:sz w:val="32"/>
          <w:szCs w:val="32"/>
          <w:highlight w:val="none"/>
          <w:lang w:eastAsia="zh-CN"/>
        </w:rPr>
        <w:t>培训支出</w:t>
      </w:r>
      <w:r>
        <w:rPr>
          <w:rStyle w:val="14"/>
          <w:rFonts w:hint="eastAsia" w:ascii="方正仿宋简体" w:hAnsi="方正仿宋简体" w:eastAsia="方正仿宋简体" w:cs="方正仿宋简体"/>
          <w:b/>
          <w:bCs/>
          <w:color w:val="auto"/>
          <w:sz w:val="32"/>
          <w:szCs w:val="32"/>
          <w:highlight w:val="none"/>
        </w:rPr>
        <w:t>（项）: 支出决算为</w:t>
      </w:r>
      <w:r>
        <w:rPr>
          <w:rStyle w:val="14"/>
          <w:rFonts w:hint="eastAsia" w:ascii="方正仿宋简体" w:hAnsi="方正仿宋简体" w:eastAsia="方正仿宋简体" w:cs="方正仿宋简体"/>
          <w:b/>
          <w:bCs/>
          <w:color w:val="auto"/>
          <w:sz w:val="32"/>
          <w:szCs w:val="32"/>
          <w:highlight w:val="none"/>
          <w:lang w:val="en-US" w:eastAsia="zh-CN"/>
        </w:rPr>
        <w:t>11.26</w:t>
      </w:r>
      <w:r>
        <w:rPr>
          <w:rStyle w:val="14"/>
          <w:rFonts w:hint="eastAsia" w:ascii="方正仿宋简体" w:hAnsi="方正仿宋简体" w:eastAsia="方正仿宋简体" w:cs="方正仿宋简体"/>
          <w:b/>
          <w:bCs/>
          <w:color w:val="auto"/>
          <w:sz w:val="32"/>
          <w:szCs w:val="32"/>
          <w:highlight w:val="none"/>
        </w:rPr>
        <w:t>万元，完成预算</w:t>
      </w:r>
      <w:r>
        <w:rPr>
          <w:rStyle w:val="14"/>
          <w:rFonts w:hint="eastAsia" w:ascii="方正仿宋简体" w:hAnsi="方正仿宋简体" w:eastAsia="方正仿宋简体" w:cs="方正仿宋简体"/>
          <w:b/>
          <w:bCs/>
          <w:color w:val="auto"/>
          <w:sz w:val="32"/>
          <w:szCs w:val="32"/>
          <w:highlight w:val="none"/>
          <w:lang w:val="en-US" w:eastAsia="zh-CN"/>
        </w:rPr>
        <w:t xml:space="preserve">100 </w:t>
      </w:r>
      <w:r>
        <w:rPr>
          <w:rStyle w:val="14"/>
          <w:rFonts w:hint="eastAsia" w:ascii="方正仿宋简体" w:hAnsi="方正仿宋简体" w:eastAsia="方正仿宋简体" w:cs="方正仿宋简体"/>
          <w:b/>
          <w:bCs/>
          <w:color w:val="auto"/>
          <w:sz w:val="32"/>
          <w:szCs w:val="32"/>
          <w:highlight w:val="none"/>
        </w:rPr>
        <w:t>%。</w:t>
      </w:r>
    </w:p>
    <w:p>
      <w:pPr>
        <w:spacing w:line="600" w:lineRule="exact"/>
        <w:ind w:firstLine="643" w:firstLineChars="200"/>
        <w:rPr>
          <w:rStyle w:val="14"/>
          <w:rFonts w:hint="eastAsia" w:ascii="方正仿宋简体" w:hAnsi="方正仿宋简体" w:eastAsia="方正仿宋简体" w:cs="方正仿宋简体"/>
          <w:b/>
          <w:bCs/>
          <w:color w:val="auto"/>
          <w:sz w:val="32"/>
          <w:szCs w:val="32"/>
          <w:highlight w:val="none"/>
          <w:lang w:eastAsia="zh-CN"/>
        </w:rPr>
      </w:pPr>
      <w:r>
        <w:rPr>
          <w:rStyle w:val="14"/>
          <w:rFonts w:hint="eastAsia" w:ascii="方正仿宋简体" w:hAnsi="方正仿宋简体" w:eastAsia="方正仿宋简体" w:cs="方正仿宋简体"/>
          <w:b/>
          <w:bCs/>
          <w:color w:val="auto"/>
          <w:sz w:val="32"/>
          <w:szCs w:val="32"/>
          <w:highlight w:val="none"/>
          <w:lang w:val="en-US" w:eastAsia="zh-CN"/>
        </w:rPr>
        <w:t>3</w:t>
      </w:r>
      <w:r>
        <w:rPr>
          <w:rStyle w:val="14"/>
          <w:rFonts w:hint="eastAsia" w:ascii="方正仿宋简体" w:hAnsi="方正仿宋简体" w:eastAsia="方正仿宋简体" w:cs="方正仿宋简体"/>
          <w:b/>
          <w:bCs/>
          <w:color w:val="auto"/>
          <w:sz w:val="32"/>
          <w:szCs w:val="32"/>
          <w:highlight w:val="none"/>
        </w:rPr>
        <w:t>.社会保障和就业（类）</w:t>
      </w:r>
      <w:r>
        <w:rPr>
          <w:rStyle w:val="14"/>
          <w:rFonts w:hint="eastAsia" w:ascii="方正仿宋简体" w:hAnsi="方正仿宋简体" w:eastAsia="方正仿宋简体" w:cs="方正仿宋简体"/>
          <w:b/>
          <w:bCs/>
          <w:color w:val="auto"/>
          <w:sz w:val="32"/>
          <w:szCs w:val="32"/>
          <w:highlight w:val="none"/>
          <w:lang w:eastAsia="zh-CN"/>
        </w:rPr>
        <w:t>行政事业单位养老</w:t>
      </w:r>
      <w:r>
        <w:rPr>
          <w:rStyle w:val="14"/>
          <w:rFonts w:hint="eastAsia" w:ascii="方正仿宋简体" w:hAnsi="方正仿宋简体" w:eastAsia="方正仿宋简体" w:cs="方正仿宋简体"/>
          <w:b/>
          <w:bCs/>
          <w:color w:val="auto"/>
          <w:sz w:val="32"/>
          <w:szCs w:val="32"/>
          <w:highlight w:val="none"/>
        </w:rPr>
        <w:t>（款）</w:t>
      </w:r>
      <w:r>
        <w:rPr>
          <w:rStyle w:val="14"/>
          <w:rFonts w:hint="eastAsia" w:ascii="方正仿宋简体" w:hAnsi="方正仿宋简体" w:eastAsia="方正仿宋简体" w:cs="方正仿宋简体"/>
          <w:b/>
          <w:bCs/>
          <w:color w:val="auto"/>
          <w:sz w:val="32"/>
          <w:szCs w:val="32"/>
          <w:highlight w:val="none"/>
          <w:lang w:eastAsia="zh-CN"/>
        </w:rPr>
        <w:t>行政单位离退休</w:t>
      </w:r>
      <w:r>
        <w:rPr>
          <w:rStyle w:val="14"/>
          <w:rFonts w:hint="eastAsia" w:ascii="方正仿宋简体" w:hAnsi="方正仿宋简体" w:eastAsia="方正仿宋简体" w:cs="方正仿宋简体"/>
          <w:b/>
          <w:bCs/>
          <w:color w:val="auto"/>
          <w:sz w:val="32"/>
          <w:szCs w:val="32"/>
          <w:highlight w:val="none"/>
        </w:rPr>
        <w:t>（项）: 支出决算为</w:t>
      </w:r>
      <w:r>
        <w:rPr>
          <w:rStyle w:val="14"/>
          <w:rFonts w:hint="eastAsia" w:ascii="方正仿宋简体" w:hAnsi="方正仿宋简体" w:eastAsia="方正仿宋简体" w:cs="方正仿宋简体"/>
          <w:b/>
          <w:bCs/>
          <w:color w:val="auto"/>
          <w:sz w:val="32"/>
          <w:szCs w:val="32"/>
          <w:highlight w:val="none"/>
          <w:lang w:val="en-US" w:eastAsia="zh-CN"/>
        </w:rPr>
        <w:t>649.32</w:t>
      </w:r>
      <w:r>
        <w:rPr>
          <w:rStyle w:val="14"/>
          <w:rFonts w:hint="eastAsia" w:ascii="方正仿宋简体" w:hAnsi="方正仿宋简体" w:eastAsia="方正仿宋简体" w:cs="方正仿宋简体"/>
          <w:b/>
          <w:bCs/>
          <w:color w:val="auto"/>
          <w:sz w:val="32"/>
          <w:szCs w:val="32"/>
          <w:highlight w:val="none"/>
        </w:rPr>
        <w:t>万元，完成预算</w:t>
      </w:r>
      <w:r>
        <w:rPr>
          <w:rStyle w:val="14"/>
          <w:rFonts w:hint="eastAsia" w:ascii="方正仿宋简体" w:hAnsi="方正仿宋简体" w:eastAsia="方正仿宋简体" w:cs="方正仿宋简体"/>
          <w:b/>
          <w:bCs/>
          <w:color w:val="auto"/>
          <w:sz w:val="32"/>
          <w:szCs w:val="32"/>
          <w:highlight w:val="none"/>
          <w:lang w:val="en-US" w:eastAsia="zh-CN"/>
        </w:rPr>
        <w:t>100</w:t>
      </w:r>
      <w:r>
        <w:rPr>
          <w:rStyle w:val="14"/>
          <w:rFonts w:hint="eastAsia" w:ascii="方正仿宋简体" w:hAnsi="方正仿宋简体" w:eastAsia="方正仿宋简体" w:cs="方正仿宋简体"/>
          <w:b/>
          <w:bCs/>
          <w:color w:val="auto"/>
          <w:sz w:val="32"/>
          <w:szCs w:val="32"/>
          <w:highlight w:val="none"/>
        </w:rPr>
        <w:t>%</w:t>
      </w:r>
      <w:r>
        <w:rPr>
          <w:rStyle w:val="14"/>
          <w:rFonts w:hint="eastAsia" w:ascii="方正仿宋简体" w:hAnsi="方正仿宋简体" w:eastAsia="方正仿宋简体" w:cs="方正仿宋简体"/>
          <w:b/>
          <w:bCs/>
          <w:color w:val="auto"/>
          <w:sz w:val="32"/>
          <w:szCs w:val="32"/>
          <w:highlight w:val="none"/>
          <w:lang w:eastAsia="zh-CN"/>
        </w:rPr>
        <w:t>；事业单位离退休</w:t>
      </w:r>
      <w:r>
        <w:rPr>
          <w:rStyle w:val="14"/>
          <w:rFonts w:hint="eastAsia" w:ascii="方正仿宋简体" w:hAnsi="方正仿宋简体" w:eastAsia="方正仿宋简体" w:cs="方正仿宋简体"/>
          <w:b/>
          <w:bCs/>
          <w:color w:val="auto"/>
          <w:sz w:val="32"/>
          <w:szCs w:val="32"/>
          <w:highlight w:val="none"/>
        </w:rPr>
        <w:t>（项）: 支出决算为</w:t>
      </w:r>
      <w:r>
        <w:rPr>
          <w:rStyle w:val="14"/>
          <w:rFonts w:hint="eastAsia" w:ascii="方正仿宋简体" w:hAnsi="方正仿宋简体" w:eastAsia="方正仿宋简体" w:cs="方正仿宋简体"/>
          <w:b/>
          <w:bCs/>
          <w:color w:val="auto"/>
          <w:sz w:val="32"/>
          <w:szCs w:val="32"/>
          <w:highlight w:val="none"/>
          <w:lang w:val="en-US" w:eastAsia="zh-CN"/>
        </w:rPr>
        <w:t>5.05</w:t>
      </w:r>
      <w:r>
        <w:rPr>
          <w:rStyle w:val="14"/>
          <w:rFonts w:hint="eastAsia" w:ascii="方正仿宋简体" w:hAnsi="方正仿宋简体" w:eastAsia="方正仿宋简体" w:cs="方正仿宋简体"/>
          <w:b/>
          <w:bCs/>
          <w:color w:val="auto"/>
          <w:sz w:val="32"/>
          <w:szCs w:val="32"/>
          <w:highlight w:val="none"/>
        </w:rPr>
        <w:t>万元，完成预算</w:t>
      </w:r>
      <w:r>
        <w:rPr>
          <w:rStyle w:val="14"/>
          <w:rFonts w:hint="eastAsia" w:ascii="方正仿宋简体" w:hAnsi="方正仿宋简体" w:eastAsia="方正仿宋简体" w:cs="方正仿宋简体"/>
          <w:b/>
          <w:bCs/>
          <w:color w:val="auto"/>
          <w:sz w:val="32"/>
          <w:szCs w:val="32"/>
          <w:highlight w:val="none"/>
          <w:lang w:val="en-US" w:eastAsia="zh-CN"/>
        </w:rPr>
        <w:t>100</w:t>
      </w:r>
      <w:r>
        <w:rPr>
          <w:rStyle w:val="14"/>
          <w:rFonts w:hint="eastAsia" w:ascii="方正仿宋简体" w:hAnsi="方正仿宋简体" w:eastAsia="方正仿宋简体" w:cs="方正仿宋简体"/>
          <w:b/>
          <w:bCs/>
          <w:color w:val="auto"/>
          <w:sz w:val="32"/>
          <w:szCs w:val="32"/>
          <w:highlight w:val="none"/>
        </w:rPr>
        <w:t>%</w:t>
      </w:r>
      <w:r>
        <w:rPr>
          <w:rStyle w:val="14"/>
          <w:rFonts w:hint="eastAsia" w:ascii="方正仿宋简体" w:hAnsi="方正仿宋简体" w:eastAsia="方正仿宋简体" w:cs="方正仿宋简体"/>
          <w:b/>
          <w:bCs/>
          <w:color w:val="auto"/>
          <w:sz w:val="32"/>
          <w:szCs w:val="32"/>
          <w:highlight w:val="none"/>
          <w:lang w:eastAsia="zh-CN"/>
        </w:rPr>
        <w:t>；机关事业单位基本养老保险支出</w:t>
      </w:r>
      <w:r>
        <w:rPr>
          <w:rStyle w:val="14"/>
          <w:rFonts w:hint="eastAsia" w:ascii="方正仿宋简体" w:hAnsi="方正仿宋简体" w:eastAsia="方正仿宋简体" w:cs="方正仿宋简体"/>
          <w:b/>
          <w:bCs/>
          <w:color w:val="auto"/>
          <w:sz w:val="32"/>
          <w:szCs w:val="32"/>
          <w:highlight w:val="none"/>
        </w:rPr>
        <w:t>（项）: 支出决算为</w:t>
      </w:r>
      <w:r>
        <w:rPr>
          <w:rStyle w:val="14"/>
          <w:rFonts w:hint="eastAsia" w:ascii="方正仿宋简体" w:hAnsi="方正仿宋简体" w:eastAsia="方正仿宋简体" w:cs="方正仿宋简体"/>
          <w:b/>
          <w:bCs/>
          <w:color w:val="auto"/>
          <w:sz w:val="32"/>
          <w:szCs w:val="32"/>
          <w:highlight w:val="none"/>
          <w:lang w:val="en-US" w:eastAsia="zh-CN"/>
        </w:rPr>
        <w:t>447.73</w:t>
      </w:r>
      <w:r>
        <w:rPr>
          <w:rStyle w:val="14"/>
          <w:rFonts w:hint="eastAsia" w:ascii="方正仿宋简体" w:hAnsi="方正仿宋简体" w:eastAsia="方正仿宋简体" w:cs="方正仿宋简体"/>
          <w:b/>
          <w:bCs/>
          <w:color w:val="auto"/>
          <w:sz w:val="32"/>
          <w:szCs w:val="32"/>
          <w:highlight w:val="none"/>
        </w:rPr>
        <w:t>万元，完成预算</w:t>
      </w:r>
      <w:r>
        <w:rPr>
          <w:rStyle w:val="14"/>
          <w:rFonts w:hint="eastAsia" w:ascii="方正仿宋简体" w:hAnsi="方正仿宋简体" w:eastAsia="方正仿宋简体" w:cs="方正仿宋简体"/>
          <w:b/>
          <w:bCs/>
          <w:color w:val="auto"/>
          <w:sz w:val="32"/>
          <w:szCs w:val="32"/>
          <w:highlight w:val="none"/>
          <w:lang w:val="en-US" w:eastAsia="zh-CN"/>
        </w:rPr>
        <w:t>100</w:t>
      </w:r>
      <w:r>
        <w:rPr>
          <w:rStyle w:val="14"/>
          <w:rFonts w:hint="eastAsia" w:ascii="方正仿宋简体" w:hAnsi="方正仿宋简体" w:eastAsia="方正仿宋简体" w:cs="方正仿宋简体"/>
          <w:b/>
          <w:bCs/>
          <w:color w:val="auto"/>
          <w:sz w:val="32"/>
          <w:szCs w:val="32"/>
          <w:highlight w:val="none"/>
        </w:rPr>
        <w:t>%</w:t>
      </w:r>
      <w:r>
        <w:rPr>
          <w:rStyle w:val="14"/>
          <w:rFonts w:hint="eastAsia" w:ascii="方正仿宋简体" w:hAnsi="方正仿宋简体" w:eastAsia="方正仿宋简体" w:cs="方正仿宋简体"/>
          <w:b/>
          <w:bCs/>
          <w:color w:val="auto"/>
          <w:sz w:val="32"/>
          <w:szCs w:val="32"/>
          <w:highlight w:val="none"/>
          <w:lang w:eastAsia="zh-CN"/>
        </w:rPr>
        <w:t>；机关事业单位职业年金缴费支出</w:t>
      </w:r>
      <w:r>
        <w:rPr>
          <w:rStyle w:val="14"/>
          <w:rFonts w:hint="eastAsia" w:ascii="方正仿宋简体" w:hAnsi="方正仿宋简体" w:eastAsia="方正仿宋简体" w:cs="方正仿宋简体"/>
          <w:b/>
          <w:bCs/>
          <w:color w:val="auto"/>
          <w:sz w:val="32"/>
          <w:szCs w:val="32"/>
          <w:highlight w:val="none"/>
        </w:rPr>
        <w:t>（项）: 支出决算为</w:t>
      </w:r>
      <w:r>
        <w:rPr>
          <w:rStyle w:val="14"/>
          <w:rFonts w:hint="eastAsia" w:ascii="方正仿宋简体" w:hAnsi="方正仿宋简体" w:eastAsia="方正仿宋简体" w:cs="方正仿宋简体"/>
          <w:b/>
          <w:bCs/>
          <w:color w:val="auto"/>
          <w:sz w:val="32"/>
          <w:szCs w:val="32"/>
          <w:highlight w:val="none"/>
          <w:lang w:val="en-US" w:eastAsia="zh-CN"/>
        </w:rPr>
        <w:t>27.78</w:t>
      </w:r>
      <w:r>
        <w:rPr>
          <w:rStyle w:val="14"/>
          <w:rFonts w:hint="eastAsia" w:ascii="方正仿宋简体" w:hAnsi="方正仿宋简体" w:eastAsia="方正仿宋简体" w:cs="方正仿宋简体"/>
          <w:b/>
          <w:bCs/>
          <w:color w:val="auto"/>
          <w:sz w:val="32"/>
          <w:szCs w:val="32"/>
          <w:highlight w:val="none"/>
        </w:rPr>
        <w:t>万元，完成预算</w:t>
      </w:r>
      <w:r>
        <w:rPr>
          <w:rStyle w:val="14"/>
          <w:rFonts w:hint="eastAsia" w:ascii="方正仿宋简体" w:hAnsi="方正仿宋简体" w:eastAsia="方正仿宋简体" w:cs="方正仿宋简体"/>
          <w:b/>
          <w:bCs/>
          <w:color w:val="auto"/>
          <w:sz w:val="32"/>
          <w:szCs w:val="32"/>
          <w:highlight w:val="none"/>
          <w:lang w:val="en-US" w:eastAsia="zh-CN"/>
        </w:rPr>
        <w:t>100</w:t>
      </w:r>
      <w:r>
        <w:rPr>
          <w:rStyle w:val="14"/>
          <w:rFonts w:hint="eastAsia" w:ascii="方正仿宋简体" w:hAnsi="方正仿宋简体" w:eastAsia="方正仿宋简体" w:cs="方正仿宋简体"/>
          <w:b/>
          <w:bCs/>
          <w:color w:val="auto"/>
          <w:sz w:val="32"/>
          <w:szCs w:val="32"/>
          <w:highlight w:val="none"/>
        </w:rPr>
        <w:t>%</w:t>
      </w:r>
      <w:r>
        <w:rPr>
          <w:rStyle w:val="14"/>
          <w:rFonts w:hint="eastAsia" w:ascii="方正仿宋简体" w:hAnsi="方正仿宋简体" w:eastAsia="方正仿宋简体" w:cs="方正仿宋简体"/>
          <w:b/>
          <w:bCs/>
          <w:color w:val="auto"/>
          <w:sz w:val="32"/>
          <w:szCs w:val="32"/>
          <w:highlight w:val="none"/>
          <w:lang w:eastAsia="zh-CN"/>
        </w:rPr>
        <w:t>。</w:t>
      </w:r>
    </w:p>
    <w:p>
      <w:pPr>
        <w:spacing w:line="600" w:lineRule="exact"/>
        <w:ind w:firstLine="643" w:firstLineChars="200"/>
        <w:rPr>
          <w:rStyle w:val="14"/>
          <w:rFonts w:hint="eastAsia" w:ascii="方正仿宋简体" w:hAnsi="方正仿宋简体" w:eastAsia="方正仿宋简体" w:cs="方正仿宋简体"/>
          <w:b/>
          <w:bCs/>
          <w:color w:val="auto"/>
          <w:sz w:val="32"/>
          <w:szCs w:val="32"/>
          <w:highlight w:val="none"/>
          <w:lang w:eastAsia="zh-CN"/>
        </w:rPr>
      </w:pPr>
      <w:r>
        <w:rPr>
          <w:rStyle w:val="14"/>
          <w:rFonts w:hint="eastAsia" w:ascii="方正仿宋简体" w:hAnsi="方正仿宋简体" w:eastAsia="方正仿宋简体" w:cs="方正仿宋简体"/>
          <w:b/>
          <w:bCs/>
          <w:color w:val="auto"/>
          <w:sz w:val="32"/>
          <w:szCs w:val="32"/>
          <w:highlight w:val="none"/>
          <w:lang w:val="en-US" w:eastAsia="zh-CN"/>
        </w:rPr>
        <w:t>4</w:t>
      </w:r>
      <w:r>
        <w:rPr>
          <w:rStyle w:val="14"/>
          <w:rFonts w:hint="eastAsia" w:ascii="方正仿宋简体" w:hAnsi="方正仿宋简体" w:eastAsia="方正仿宋简体" w:cs="方正仿宋简体"/>
          <w:b/>
          <w:bCs/>
          <w:color w:val="auto"/>
          <w:sz w:val="32"/>
          <w:szCs w:val="32"/>
          <w:highlight w:val="none"/>
        </w:rPr>
        <w:t>.社会保障和就业（类）</w:t>
      </w:r>
      <w:r>
        <w:rPr>
          <w:rStyle w:val="14"/>
          <w:rFonts w:hint="eastAsia" w:ascii="方正仿宋简体" w:hAnsi="方正仿宋简体" w:eastAsia="方正仿宋简体" w:cs="方正仿宋简体"/>
          <w:b/>
          <w:bCs/>
          <w:color w:val="auto"/>
          <w:sz w:val="32"/>
          <w:szCs w:val="32"/>
          <w:highlight w:val="none"/>
          <w:lang w:eastAsia="zh-CN"/>
        </w:rPr>
        <w:t>抚恤</w:t>
      </w:r>
      <w:r>
        <w:rPr>
          <w:rStyle w:val="14"/>
          <w:rFonts w:hint="eastAsia" w:ascii="方正仿宋简体" w:hAnsi="方正仿宋简体" w:eastAsia="方正仿宋简体" w:cs="方正仿宋简体"/>
          <w:b/>
          <w:bCs/>
          <w:color w:val="auto"/>
          <w:sz w:val="32"/>
          <w:szCs w:val="32"/>
          <w:highlight w:val="none"/>
        </w:rPr>
        <w:t>（款）</w:t>
      </w:r>
      <w:r>
        <w:rPr>
          <w:rStyle w:val="14"/>
          <w:rFonts w:hint="eastAsia" w:ascii="方正仿宋简体" w:hAnsi="方正仿宋简体" w:eastAsia="方正仿宋简体" w:cs="方正仿宋简体"/>
          <w:b/>
          <w:bCs/>
          <w:color w:val="auto"/>
          <w:sz w:val="32"/>
          <w:szCs w:val="32"/>
          <w:highlight w:val="none"/>
          <w:lang w:eastAsia="zh-CN"/>
        </w:rPr>
        <w:t>死亡抚恤</w:t>
      </w:r>
      <w:r>
        <w:rPr>
          <w:rStyle w:val="14"/>
          <w:rFonts w:hint="eastAsia" w:ascii="方正仿宋简体" w:hAnsi="方正仿宋简体" w:eastAsia="方正仿宋简体" w:cs="方正仿宋简体"/>
          <w:b/>
          <w:bCs/>
          <w:color w:val="auto"/>
          <w:sz w:val="32"/>
          <w:szCs w:val="32"/>
          <w:highlight w:val="none"/>
        </w:rPr>
        <w:t>（项）: 支出决算为</w:t>
      </w:r>
      <w:r>
        <w:rPr>
          <w:rStyle w:val="14"/>
          <w:rFonts w:hint="eastAsia" w:ascii="方正仿宋简体" w:hAnsi="方正仿宋简体" w:eastAsia="方正仿宋简体" w:cs="方正仿宋简体"/>
          <w:b/>
          <w:bCs/>
          <w:color w:val="auto"/>
          <w:sz w:val="32"/>
          <w:szCs w:val="32"/>
          <w:highlight w:val="none"/>
          <w:lang w:val="en-US" w:eastAsia="zh-CN"/>
        </w:rPr>
        <w:t>84.75</w:t>
      </w:r>
      <w:r>
        <w:rPr>
          <w:rStyle w:val="14"/>
          <w:rFonts w:hint="eastAsia" w:ascii="方正仿宋简体" w:hAnsi="方正仿宋简体" w:eastAsia="方正仿宋简体" w:cs="方正仿宋简体"/>
          <w:b/>
          <w:bCs/>
          <w:color w:val="auto"/>
          <w:sz w:val="32"/>
          <w:szCs w:val="32"/>
          <w:highlight w:val="none"/>
        </w:rPr>
        <w:t>万元，完成预算</w:t>
      </w:r>
      <w:r>
        <w:rPr>
          <w:rStyle w:val="14"/>
          <w:rFonts w:hint="eastAsia" w:ascii="方正仿宋简体" w:hAnsi="方正仿宋简体" w:eastAsia="方正仿宋简体" w:cs="方正仿宋简体"/>
          <w:b/>
          <w:bCs/>
          <w:color w:val="auto"/>
          <w:sz w:val="32"/>
          <w:szCs w:val="32"/>
          <w:highlight w:val="none"/>
          <w:lang w:val="en-US" w:eastAsia="zh-CN"/>
        </w:rPr>
        <w:t>100</w:t>
      </w:r>
      <w:r>
        <w:rPr>
          <w:rStyle w:val="14"/>
          <w:rFonts w:hint="eastAsia" w:ascii="方正仿宋简体" w:hAnsi="方正仿宋简体" w:eastAsia="方正仿宋简体" w:cs="方正仿宋简体"/>
          <w:b/>
          <w:bCs/>
          <w:color w:val="auto"/>
          <w:sz w:val="32"/>
          <w:szCs w:val="32"/>
          <w:highlight w:val="none"/>
        </w:rPr>
        <w:t>%</w:t>
      </w:r>
      <w:r>
        <w:rPr>
          <w:rStyle w:val="14"/>
          <w:rFonts w:hint="eastAsia" w:ascii="方正仿宋简体" w:hAnsi="方正仿宋简体" w:eastAsia="方正仿宋简体" w:cs="方正仿宋简体"/>
          <w:b/>
          <w:bCs/>
          <w:color w:val="auto"/>
          <w:sz w:val="32"/>
          <w:szCs w:val="32"/>
          <w:highlight w:val="none"/>
          <w:lang w:eastAsia="zh-CN"/>
        </w:rPr>
        <w:t>。</w:t>
      </w:r>
    </w:p>
    <w:p>
      <w:pPr>
        <w:spacing w:line="600" w:lineRule="exact"/>
        <w:ind w:firstLine="643" w:firstLineChars="200"/>
        <w:rPr>
          <w:rStyle w:val="14"/>
          <w:rFonts w:hint="eastAsia" w:ascii="方正仿宋简体" w:hAnsi="方正仿宋简体" w:eastAsia="方正仿宋简体" w:cs="方正仿宋简体"/>
          <w:b/>
          <w:bCs/>
          <w:color w:val="auto"/>
          <w:sz w:val="32"/>
          <w:szCs w:val="32"/>
          <w:highlight w:val="none"/>
          <w:lang w:eastAsia="zh-CN"/>
        </w:rPr>
      </w:pPr>
      <w:r>
        <w:rPr>
          <w:rStyle w:val="14"/>
          <w:rFonts w:hint="eastAsia" w:ascii="方正仿宋简体" w:hAnsi="方正仿宋简体" w:eastAsia="方正仿宋简体" w:cs="方正仿宋简体"/>
          <w:b/>
          <w:bCs/>
          <w:color w:val="auto"/>
          <w:sz w:val="32"/>
          <w:szCs w:val="32"/>
          <w:highlight w:val="none"/>
          <w:lang w:val="en-US" w:eastAsia="zh-CN"/>
        </w:rPr>
        <w:t>5</w:t>
      </w:r>
      <w:r>
        <w:rPr>
          <w:rStyle w:val="14"/>
          <w:rFonts w:hint="eastAsia" w:ascii="方正仿宋简体" w:hAnsi="方正仿宋简体" w:eastAsia="方正仿宋简体" w:cs="方正仿宋简体"/>
          <w:b/>
          <w:bCs/>
          <w:color w:val="auto"/>
          <w:sz w:val="32"/>
          <w:szCs w:val="32"/>
          <w:highlight w:val="none"/>
        </w:rPr>
        <w:t>.</w:t>
      </w:r>
      <w:r>
        <w:rPr>
          <w:rFonts w:hint="eastAsia" w:ascii="方正仿宋简体" w:hAnsi="方正仿宋简体" w:eastAsia="方正仿宋简体" w:cs="方正仿宋简体"/>
          <w:b/>
          <w:bCs/>
          <w:color w:val="auto"/>
          <w:sz w:val="32"/>
          <w:szCs w:val="32"/>
          <w:highlight w:val="none"/>
        </w:rPr>
        <w:t>卫生健康</w:t>
      </w:r>
      <w:r>
        <w:rPr>
          <w:rStyle w:val="14"/>
          <w:rFonts w:hint="eastAsia" w:ascii="方正仿宋简体" w:hAnsi="方正仿宋简体" w:eastAsia="方正仿宋简体" w:cs="方正仿宋简体"/>
          <w:b/>
          <w:bCs/>
          <w:color w:val="auto"/>
          <w:sz w:val="32"/>
          <w:szCs w:val="32"/>
          <w:highlight w:val="none"/>
        </w:rPr>
        <w:t>（类）</w:t>
      </w:r>
      <w:r>
        <w:rPr>
          <w:rStyle w:val="14"/>
          <w:rFonts w:hint="eastAsia" w:ascii="方正仿宋简体" w:hAnsi="方正仿宋简体" w:eastAsia="方正仿宋简体" w:cs="方正仿宋简体"/>
          <w:b/>
          <w:bCs/>
          <w:color w:val="auto"/>
          <w:sz w:val="32"/>
          <w:szCs w:val="32"/>
          <w:highlight w:val="none"/>
          <w:lang w:eastAsia="zh-CN"/>
        </w:rPr>
        <w:t>行政事业单位医疗</w:t>
      </w:r>
      <w:r>
        <w:rPr>
          <w:rStyle w:val="14"/>
          <w:rFonts w:hint="eastAsia" w:ascii="方正仿宋简体" w:hAnsi="方正仿宋简体" w:eastAsia="方正仿宋简体" w:cs="方正仿宋简体"/>
          <w:b/>
          <w:bCs/>
          <w:color w:val="auto"/>
          <w:sz w:val="32"/>
          <w:szCs w:val="32"/>
          <w:highlight w:val="none"/>
        </w:rPr>
        <w:t>（款）</w:t>
      </w:r>
      <w:r>
        <w:rPr>
          <w:rStyle w:val="14"/>
          <w:rFonts w:hint="eastAsia" w:ascii="方正仿宋简体" w:hAnsi="方正仿宋简体" w:eastAsia="方正仿宋简体" w:cs="方正仿宋简体"/>
          <w:b/>
          <w:bCs/>
          <w:color w:val="auto"/>
          <w:sz w:val="32"/>
          <w:szCs w:val="32"/>
          <w:highlight w:val="none"/>
          <w:lang w:eastAsia="zh-CN"/>
        </w:rPr>
        <w:t>行政单位医疗</w:t>
      </w:r>
      <w:r>
        <w:rPr>
          <w:rStyle w:val="14"/>
          <w:rFonts w:hint="eastAsia" w:ascii="方正仿宋简体" w:hAnsi="方正仿宋简体" w:eastAsia="方正仿宋简体" w:cs="方正仿宋简体"/>
          <w:b/>
          <w:bCs/>
          <w:color w:val="auto"/>
          <w:sz w:val="32"/>
          <w:szCs w:val="32"/>
          <w:highlight w:val="none"/>
        </w:rPr>
        <w:t>（项）</w:t>
      </w:r>
      <w:r>
        <w:rPr>
          <w:rStyle w:val="14"/>
          <w:rFonts w:hint="eastAsia" w:ascii="方正仿宋简体" w:hAnsi="方正仿宋简体" w:eastAsia="方正仿宋简体" w:cs="方正仿宋简体"/>
          <w:b/>
          <w:bCs/>
          <w:color w:val="auto"/>
          <w:sz w:val="32"/>
          <w:szCs w:val="32"/>
          <w:highlight w:val="none"/>
          <w:lang w:eastAsia="zh-CN"/>
        </w:rPr>
        <w:t>：</w:t>
      </w:r>
      <w:r>
        <w:rPr>
          <w:rStyle w:val="14"/>
          <w:rFonts w:hint="eastAsia" w:ascii="方正仿宋简体" w:hAnsi="方正仿宋简体" w:eastAsia="方正仿宋简体" w:cs="方正仿宋简体"/>
          <w:b/>
          <w:bCs/>
          <w:color w:val="auto"/>
          <w:sz w:val="32"/>
          <w:szCs w:val="32"/>
          <w:highlight w:val="none"/>
        </w:rPr>
        <w:t>支出决算为</w:t>
      </w:r>
      <w:r>
        <w:rPr>
          <w:rStyle w:val="14"/>
          <w:rFonts w:hint="eastAsia" w:ascii="方正仿宋简体" w:hAnsi="方正仿宋简体" w:eastAsia="方正仿宋简体" w:cs="方正仿宋简体"/>
          <w:b/>
          <w:bCs/>
          <w:color w:val="auto"/>
          <w:sz w:val="32"/>
          <w:szCs w:val="32"/>
          <w:highlight w:val="none"/>
          <w:lang w:val="en-US" w:eastAsia="zh-CN"/>
        </w:rPr>
        <w:t>294.88</w:t>
      </w:r>
      <w:r>
        <w:rPr>
          <w:rStyle w:val="14"/>
          <w:rFonts w:hint="eastAsia" w:ascii="方正仿宋简体" w:hAnsi="方正仿宋简体" w:eastAsia="方正仿宋简体" w:cs="方正仿宋简体"/>
          <w:b/>
          <w:bCs/>
          <w:color w:val="auto"/>
          <w:sz w:val="32"/>
          <w:szCs w:val="32"/>
          <w:highlight w:val="none"/>
        </w:rPr>
        <w:t>万元，完成预算</w:t>
      </w:r>
      <w:r>
        <w:rPr>
          <w:rStyle w:val="14"/>
          <w:rFonts w:hint="eastAsia" w:ascii="方正仿宋简体" w:hAnsi="方正仿宋简体" w:eastAsia="方正仿宋简体" w:cs="方正仿宋简体"/>
          <w:b/>
          <w:bCs/>
          <w:color w:val="auto"/>
          <w:sz w:val="32"/>
          <w:szCs w:val="32"/>
          <w:highlight w:val="none"/>
          <w:lang w:val="en-US" w:eastAsia="zh-CN"/>
        </w:rPr>
        <w:t>100</w:t>
      </w:r>
      <w:r>
        <w:rPr>
          <w:rStyle w:val="14"/>
          <w:rFonts w:hint="eastAsia" w:ascii="方正仿宋简体" w:hAnsi="方正仿宋简体" w:eastAsia="方正仿宋简体" w:cs="方正仿宋简体"/>
          <w:b/>
          <w:bCs/>
          <w:color w:val="auto"/>
          <w:sz w:val="32"/>
          <w:szCs w:val="32"/>
          <w:highlight w:val="none"/>
        </w:rPr>
        <w:t>%</w:t>
      </w:r>
      <w:r>
        <w:rPr>
          <w:rStyle w:val="14"/>
          <w:rFonts w:hint="eastAsia" w:ascii="方正仿宋简体" w:hAnsi="方正仿宋简体" w:eastAsia="方正仿宋简体" w:cs="方正仿宋简体"/>
          <w:b/>
          <w:bCs/>
          <w:color w:val="auto"/>
          <w:sz w:val="32"/>
          <w:szCs w:val="32"/>
          <w:highlight w:val="none"/>
          <w:lang w:eastAsia="zh-CN"/>
        </w:rPr>
        <w:t>；事业单位医疗</w:t>
      </w:r>
      <w:r>
        <w:rPr>
          <w:rStyle w:val="14"/>
          <w:rFonts w:hint="eastAsia" w:ascii="方正仿宋简体" w:hAnsi="方正仿宋简体" w:eastAsia="方正仿宋简体" w:cs="方正仿宋简体"/>
          <w:b/>
          <w:bCs/>
          <w:color w:val="auto"/>
          <w:sz w:val="32"/>
          <w:szCs w:val="32"/>
          <w:highlight w:val="none"/>
        </w:rPr>
        <w:t>（项）</w:t>
      </w:r>
      <w:r>
        <w:rPr>
          <w:rStyle w:val="14"/>
          <w:rFonts w:hint="eastAsia" w:ascii="方正仿宋简体" w:hAnsi="方正仿宋简体" w:eastAsia="方正仿宋简体" w:cs="方正仿宋简体"/>
          <w:b/>
          <w:bCs/>
          <w:color w:val="auto"/>
          <w:sz w:val="32"/>
          <w:szCs w:val="32"/>
          <w:highlight w:val="none"/>
          <w:lang w:eastAsia="zh-CN"/>
        </w:rPr>
        <w:t>：</w:t>
      </w:r>
      <w:r>
        <w:rPr>
          <w:rStyle w:val="14"/>
          <w:rFonts w:hint="eastAsia" w:ascii="方正仿宋简体" w:hAnsi="方正仿宋简体" w:eastAsia="方正仿宋简体" w:cs="方正仿宋简体"/>
          <w:b/>
          <w:bCs/>
          <w:color w:val="auto"/>
          <w:sz w:val="32"/>
          <w:szCs w:val="32"/>
          <w:highlight w:val="none"/>
        </w:rPr>
        <w:t>支出决算为</w:t>
      </w:r>
      <w:r>
        <w:rPr>
          <w:rStyle w:val="14"/>
          <w:rFonts w:hint="eastAsia" w:ascii="方正仿宋简体" w:hAnsi="方正仿宋简体" w:eastAsia="方正仿宋简体" w:cs="方正仿宋简体"/>
          <w:b/>
          <w:bCs/>
          <w:color w:val="auto"/>
          <w:sz w:val="32"/>
          <w:szCs w:val="32"/>
          <w:highlight w:val="none"/>
          <w:lang w:val="en-US" w:eastAsia="zh-CN"/>
        </w:rPr>
        <w:t>32.58</w:t>
      </w:r>
      <w:r>
        <w:rPr>
          <w:rStyle w:val="14"/>
          <w:rFonts w:hint="eastAsia" w:ascii="方正仿宋简体" w:hAnsi="方正仿宋简体" w:eastAsia="方正仿宋简体" w:cs="方正仿宋简体"/>
          <w:b/>
          <w:bCs/>
          <w:color w:val="auto"/>
          <w:sz w:val="32"/>
          <w:szCs w:val="32"/>
          <w:highlight w:val="none"/>
        </w:rPr>
        <w:t>万元，完成预算</w:t>
      </w:r>
      <w:r>
        <w:rPr>
          <w:rStyle w:val="14"/>
          <w:rFonts w:hint="eastAsia" w:ascii="方正仿宋简体" w:hAnsi="方正仿宋简体" w:eastAsia="方正仿宋简体" w:cs="方正仿宋简体"/>
          <w:b/>
          <w:bCs/>
          <w:color w:val="auto"/>
          <w:sz w:val="32"/>
          <w:szCs w:val="32"/>
          <w:highlight w:val="none"/>
          <w:lang w:val="en-US" w:eastAsia="zh-CN"/>
        </w:rPr>
        <w:t>100</w:t>
      </w:r>
      <w:r>
        <w:rPr>
          <w:rStyle w:val="14"/>
          <w:rFonts w:hint="eastAsia" w:ascii="方正仿宋简体" w:hAnsi="方正仿宋简体" w:eastAsia="方正仿宋简体" w:cs="方正仿宋简体"/>
          <w:b/>
          <w:bCs/>
          <w:color w:val="auto"/>
          <w:sz w:val="32"/>
          <w:szCs w:val="32"/>
          <w:highlight w:val="none"/>
        </w:rPr>
        <w:t>%</w:t>
      </w:r>
      <w:r>
        <w:rPr>
          <w:rStyle w:val="14"/>
          <w:rFonts w:hint="eastAsia" w:ascii="方正仿宋简体" w:hAnsi="方正仿宋简体" w:eastAsia="方正仿宋简体" w:cs="方正仿宋简体"/>
          <w:b/>
          <w:bCs/>
          <w:color w:val="auto"/>
          <w:sz w:val="32"/>
          <w:szCs w:val="32"/>
          <w:highlight w:val="none"/>
          <w:lang w:eastAsia="zh-CN"/>
        </w:rPr>
        <w:t>；公务员医疗补助</w:t>
      </w:r>
      <w:r>
        <w:rPr>
          <w:rStyle w:val="14"/>
          <w:rFonts w:hint="eastAsia" w:ascii="方正仿宋简体" w:hAnsi="方正仿宋简体" w:eastAsia="方正仿宋简体" w:cs="方正仿宋简体"/>
          <w:b/>
          <w:bCs/>
          <w:color w:val="auto"/>
          <w:sz w:val="32"/>
          <w:szCs w:val="32"/>
          <w:highlight w:val="none"/>
        </w:rPr>
        <w:t>（项）</w:t>
      </w:r>
      <w:r>
        <w:rPr>
          <w:rStyle w:val="14"/>
          <w:rFonts w:hint="eastAsia" w:ascii="方正仿宋简体" w:hAnsi="方正仿宋简体" w:eastAsia="方正仿宋简体" w:cs="方正仿宋简体"/>
          <w:b/>
          <w:bCs/>
          <w:color w:val="auto"/>
          <w:sz w:val="32"/>
          <w:szCs w:val="32"/>
          <w:highlight w:val="none"/>
          <w:lang w:eastAsia="zh-CN"/>
        </w:rPr>
        <w:t>：</w:t>
      </w:r>
      <w:r>
        <w:rPr>
          <w:rStyle w:val="14"/>
          <w:rFonts w:hint="eastAsia" w:ascii="方正仿宋简体" w:hAnsi="方正仿宋简体" w:eastAsia="方正仿宋简体" w:cs="方正仿宋简体"/>
          <w:b/>
          <w:bCs/>
          <w:color w:val="auto"/>
          <w:sz w:val="32"/>
          <w:szCs w:val="32"/>
          <w:highlight w:val="none"/>
        </w:rPr>
        <w:t>支出决算为</w:t>
      </w:r>
      <w:r>
        <w:rPr>
          <w:rStyle w:val="14"/>
          <w:rFonts w:hint="eastAsia" w:ascii="方正仿宋简体" w:hAnsi="方正仿宋简体" w:eastAsia="方正仿宋简体" w:cs="方正仿宋简体"/>
          <w:b/>
          <w:bCs/>
          <w:color w:val="auto"/>
          <w:sz w:val="32"/>
          <w:szCs w:val="32"/>
          <w:highlight w:val="none"/>
          <w:lang w:val="en-US" w:eastAsia="zh-CN"/>
        </w:rPr>
        <w:t>73.05</w:t>
      </w:r>
      <w:r>
        <w:rPr>
          <w:rStyle w:val="14"/>
          <w:rFonts w:hint="eastAsia" w:ascii="方正仿宋简体" w:hAnsi="方正仿宋简体" w:eastAsia="方正仿宋简体" w:cs="方正仿宋简体"/>
          <w:b/>
          <w:bCs/>
          <w:color w:val="auto"/>
          <w:sz w:val="32"/>
          <w:szCs w:val="32"/>
          <w:highlight w:val="none"/>
        </w:rPr>
        <w:t>万元，完成预算</w:t>
      </w:r>
      <w:r>
        <w:rPr>
          <w:rStyle w:val="14"/>
          <w:rFonts w:hint="eastAsia" w:ascii="方正仿宋简体" w:hAnsi="方正仿宋简体" w:eastAsia="方正仿宋简体" w:cs="方正仿宋简体"/>
          <w:b/>
          <w:bCs/>
          <w:color w:val="auto"/>
          <w:sz w:val="32"/>
          <w:szCs w:val="32"/>
          <w:highlight w:val="none"/>
          <w:lang w:val="en-US" w:eastAsia="zh-CN"/>
        </w:rPr>
        <w:t>100</w:t>
      </w:r>
      <w:r>
        <w:rPr>
          <w:rStyle w:val="14"/>
          <w:rFonts w:hint="eastAsia" w:ascii="方正仿宋简体" w:hAnsi="方正仿宋简体" w:eastAsia="方正仿宋简体" w:cs="方正仿宋简体"/>
          <w:b/>
          <w:bCs/>
          <w:color w:val="auto"/>
          <w:sz w:val="32"/>
          <w:szCs w:val="32"/>
          <w:highlight w:val="none"/>
        </w:rPr>
        <w:t>%</w:t>
      </w:r>
      <w:r>
        <w:rPr>
          <w:rStyle w:val="14"/>
          <w:rFonts w:hint="eastAsia" w:ascii="方正仿宋简体" w:hAnsi="方正仿宋简体" w:eastAsia="方正仿宋简体" w:cs="方正仿宋简体"/>
          <w:b/>
          <w:bCs/>
          <w:color w:val="auto"/>
          <w:sz w:val="32"/>
          <w:szCs w:val="32"/>
          <w:highlight w:val="none"/>
          <w:lang w:eastAsia="zh-CN"/>
        </w:rPr>
        <w:t>。</w:t>
      </w:r>
    </w:p>
    <w:p>
      <w:pPr>
        <w:pStyle w:val="2"/>
        <w:ind w:firstLine="643" w:firstLineChars="200"/>
        <w:rPr>
          <w:rFonts w:hint="eastAsia" w:ascii="方正仿宋简体" w:hAnsi="方正仿宋简体" w:eastAsia="方正仿宋简体" w:cs="方正仿宋简体"/>
          <w:b/>
          <w:bCs/>
          <w:color w:val="auto"/>
          <w:sz w:val="32"/>
          <w:szCs w:val="32"/>
          <w:lang w:val="en-US" w:eastAsia="zh-CN"/>
        </w:rPr>
      </w:pPr>
      <w:r>
        <w:rPr>
          <w:rStyle w:val="14"/>
          <w:rFonts w:hint="eastAsia" w:ascii="方正仿宋简体" w:hAnsi="方正仿宋简体" w:eastAsia="方正仿宋简体" w:cs="方正仿宋简体"/>
          <w:b/>
          <w:bCs/>
          <w:color w:val="auto"/>
          <w:sz w:val="32"/>
          <w:szCs w:val="32"/>
          <w:highlight w:val="none"/>
          <w:lang w:val="en-US" w:eastAsia="zh-CN"/>
        </w:rPr>
        <w:t>6.住房保障（类）住房改革支出（款）住房公积金（项）：支出决算432.13万元，完成预算100%；购房补贴（项）：支出决算346.98万元，完成预算100%。</w:t>
      </w:r>
    </w:p>
    <w:p>
      <w:pPr>
        <w:tabs>
          <w:tab w:val="right" w:pos="8306"/>
        </w:tabs>
        <w:spacing w:line="600" w:lineRule="exact"/>
        <w:ind w:firstLine="640"/>
        <w:outlineLvl w:val="1"/>
        <w:rPr>
          <w:rStyle w:val="25"/>
          <w:b/>
          <w:bCs/>
          <w:color w:val="auto"/>
          <w:highlight w:val="none"/>
        </w:rPr>
      </w:pPr>
      <w:bookmarkStart w:id="38" w:name="_Toc15396608"/>
      <w:bookmarkStart w:id="39" w:name="_Toc15377214"/>
      <w:r>
        <w:rPr>
          <w:rFonts w:hint="eastAsia" w:ascii="方正黑体简体" w:hAnsi="方正黑体简体" w:eastAsia="方正黑体简体" w:cs="方正黑体简体"/>
          <w:b/>
          <w:bCs/>
          <w:color w:val="auto"/>
          <w:sz w:val="32"/>
          <w:szCs w:val="32"/>
          <w:highlight w:val="none"/>
        </w:rPr>
        <w:t>六、一</w:t>
      </w:r>
      <w:r>
        <w:rPr>
          <w:rStyle w:val="25"/>
          <w:rFonts w:hint="eastAsia" w:ascii="方正黑体简体" w:hAnsi="方正黑体简体" w:eastAsia="方正黑体简体" w:cs="方正黑体简体"/>
          <w:b/>
          <w:bCs/>
          <w:color w:val="auto"/>
          <w:highlight w:val="none"/>
        </w:rPr>
        <w:t>般公共预算财政拨款基本支出决算情况说明</w:t>
      </w:r>
      <w:bookmarkEnd w:id="38"/>
      <w:bookmarkEnd w:id="39"/>
      <w:r>
        <w:rPr>
          <w:rStyle w:val="25"/>
          <w:rFonts w:ascii="黑体" w:hAnsi="黑体" w:eastAsia="黑体"/>
          <w:b/>
          <w:bCs/>
          <w:color w:val="auto"/>
          <w:highlight w:val="none"/>
        </w:rPr>
        <w:tab/>
      </w:r>
    </w:p>
    <w:p>
      <w:pPr>
        <w:spacing w:line="600" w:lineRule="exact"/>
        <w:ind w:firstLine="645"/>
        <w:jc w:val="both"/>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20</w:t>
      </w:r>
      <w:r>
        <w:rPr>
          <w:rFonts w:hint="eastAsia" w:ascii="方正仿宋简体" w:hAnsi="方正仿宋简体" w:eastAsia="方正仿宋简体" w:cs="方正仿宋简体"/>
          <w:b/>
          <w:bCs/>
          <w:color w:val="auto"/>
          <w:sz w:val="32"/>
          <w:szCs w:val="32"/>
          <w:highlight w:val="none"/>
          <w:lang w:val="en-US" w:eastAsia="zh-CN"/>
        </w:rPr>
        <w:t>20</w:t>
      </w:r>
      <w:r>
        <w:rPr>
          <w:rFonts w:hint="eastAsia" w:ascii="方正仿宋简体" w:hAnsi="方正仿宋简体" w:eastAsia="方正仿宋简体" w:cs="方正仿宋简体"/>
          <w:b/>
          <w:bCs/>
          <w:color w:val="auto"/>
          <w:sz w:val="32"/>
          <w:szCs w:val="32"/>
          <w:highlight w:val="none"/>
        </w:rPr>
        <w:t>年一般公共预算财政拨款基本支出</w:t>
      </w:r>
      <w:r>
        <w:rPr>
          <w:rFonts w:hint="eastAsia" w:ascii="方正仿宋简体" w:hAnsi="方正仿宋简体" w:eastAsia="方正仿宋简体" w:cs="方正仿宋简体"/>
          <w:b/>
          <w:bCs/>
          <w:color w:val="auto"/>
          <w:sz w:val="32"/>
          <w:szCs w:val="32"/>
          <w:highlight w:val="none"/>
          <w:lang w:val="en-US" w:eastAsia="zh-CN"/>
        </w:rPr>
        <w:t>7483.74</w:t>
      </w:r>
      <w:r>
        <w:rPr>
          <w:rFonts w:hint="eastAsia" w:ascii="方正仿宋简体" w:hAnsi="方正仿宋简体" w:eastAsia="方正仿宋简体" w:cs="方正仿宋简体"/>
          <w:b/>
          <w:bCs/>
          <w:color w:val="auto"/>
          <w:sz w:val="32"/>
          <w:szCs w:val="32"/>
          <w:highlight w:val="none"/>
        </w:rPr>
        <w:t>万元，其中：</w:t>
      </w:r>
    </w:p>
    <w:p>
      <w:pPr>
        <w:spacing w:line="600" w:lineRule="exact"/>
        <w:ind w:firstLine="645"/>
        <w:jc w:val="both"/>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人员经费</w:t>
      </w:r>
      <w:r>
        <w:rPr>
          <w:rFonts w:hint="eastAsia" w:ascii="方正仿宋简体" w:hAnsi="方正仿宋简体" w:eastAsia="方正仿宋简体" w:cs="方正仿宋简体"/>
          <w:b/>
          <w:bCs/>
          <w:color w:val="auto"/>
          <w:sz w:val="32"/>
          <w:szCs w:val="32"/>
          <w:highlight w:val="none"/>
          <w:lang w:val="en-US" w:eastAsia="zh-CN"/>
        </w:rPr>
        <w:t>6319.69</w:t>
      </w:r>
      <w:r>
        <w:rPr>
          <w:rFonts w:hint="eastAsia" w:ascii="方正仿宋简体" w:hAnsi="方正仿宋简体" w:eastAsia="方正仿宋简体" w:cs="方正仿宋简体"/>
          <w:b/>
          <w:bCs/>
          <w:color w:val="auto"/>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hint="eastAsia" w:ascii="方正仿宋简体" w:hAnsi="方正仿宋简体" w:eastAsia="方正仿宋简体" w:cs="方正仿宋简体"/>
          <w:b/>
          <w:bCs/>
          <w:color w:val="auto"/>
          <w:sz w:val="32"/>
          <w:szCs w:val="32"/>
          <w:highlight w:val="none"/>
        </w:rPr>
        <w:br w:type="textWrapping"/>
      </w:r>
      <w:r>
        <w:rPr>
          <w:rFonts w:hint="eastAsia" w:ascii="方正仿宋简体" w:hAnsi="方正仿宋简体" w:eastAsia="方正仿宋简体" w:cs="方正仿宋简体"/>
          <w:b/>
          <w:bCs/>
          <w:color w:val="auto"/>
          <w:sz w:val="32"/>
          <w:szCs w:val="32"/>
          <w:highlight w:val="none"/>
        </w:rPr>
        <w:t>　　公用经费</w:t>
      </w:r>
      <w:r>
        <w:rPr>
          <w:rFonts w:hint="eastAsia" w:ascii="方正仿宋简体" w:hAnsi="方正仿宋简体" w:eastAsia="方正仿宋简体" w:cs="方正仿宋简体"/>
          <w:b/>
          <w:bCs/>
          <w:color w:val="auto"/>
          <w:sz w:val="32"/>
          <w:szCs w:val="32"/>
          <w:highlight w:val="none"/>
          <w:lang w:val="en-US" w:eastAsia="zh-CN"/>
        </w:rPr>
        <w:t>1164.05</w:t>
      </w:r>
      <w:r>
        <w:rPr>
          <w:rFonts w:hint="eastAsia" w:ascii="方正仿宋简体" w:hAnsi="方正仿宋简体" w:eastAsia="方正仿宋简体" w:cs="方正仿宋简体"/>
          <w:b/>
          <w:bCs/>
          <w:color w:val="auto"/>
          <w:sz w:val="32"/>
          <w:szCs w:val="32"/>
          <w:highlight w:val="none"/>
        </w:rPr>
        <w:t>万元，主要包括：办公费、印刷费、咨询费、手续费、水费、电费、邮电费、取暖费、差旅费、租赁费、会议费、培训费、公务接待费、劳务费、委托业务费、工会经费、福利费、其他交通费、税金及附加费用、其他商品和服务支出、办公设备购置、专用设备购置</w:t>
      </w:r>
      <w:r>
        <w:rPr>
          <w:rFonts w:hint="eastAsia" w:ascii="方正仿宋简体" w:hAnsi="方正仿宋简体" w:eastAsia="方正仿宋简体" w:cs="方正仿宋简体"/>
          <w:b/>
          <w:bCs/>
          <w:color w:val="auto"/>
          <w:sz w:val="32"/>
          <w:szCs w:val="32"/>
          <w:highlight w:val="none"/>
          <w:lang w:eastAsia="zh-CN"/>
        </w:rPr>
        <w:t>等</w:t>
      </w:r>
      <w:r>
        <w:rPr>
          <w:rFonts w:hint="eastAsia" w:ascii="方正仿宋简体" w:hAnsi="方正仿宋简体" w:eastAsia="方正仿宋简体" w:cs="方正仿宋简体"/>
          <w:b/>
          <w:bCs/>
          <w:color w:val="auto"/>
          <w:sz w:val="32"/>
          <w:szCs w:val="32"/>
          <w:highlight w:val="none"/>
        </w:rPr>
        <w:t>。</w:t>
      </w:r>
    </w:p>
    <w:p>
      <w:pPr>
        <w:spacing w:line="600" w:lineRule="exact"/>
        <w:ind w:firstLine="640"/>
        <w:outlineLvl w:val="1"/>
        <w:rPr>
          <w:rStyle w:val="25"/>
          <w:rFonts w:ascii="黑体" w:hAnsi="黑体" w:eastAsia="黑体"/>
          <w:b/>
          <w:bCs/>
          <w:color w:val="auto"/>
          <w:highlight w:val="none"/>
        </w:rPr>
      </w:pPr>
      <w:bookmarkStart w:id="40" w:name="_Toc15396609"/>
      <w:bookmarkStart w:id="41" w:name="_Toc15377215"/>
      <w:r>
        <w:rPr>
          <w:rFonts w:hint="eastAsia" w:ascii="方正黑体简体" w:hAnsi="方正黑体简体" w:eastAsia="方正黑体简体" w:cs="方正黑体简体"/>
          <w:b/>
          <w:bCs/>
          <w:color w:val="auto"/>
          <w:sz w:val="32"/>
          <w:szCs w:val="32"/>
          <w:highlight w:val="none"/>
        </w:rPr>
        <w:t>七、</w:t>
      </w:r>
      <w:r>
        <w:rPr>
          <w:rStyle w:val="25"/>
          <w:rFonts w:hint="eastAsia" w:ascii="方正黑体简体" w:hAnsi="方正黑体简体" w:eastAsia="方正黑体简体" w:cs="方正黑体简体"/>
          <w:b/>
          <w:bCs/>
          <w:color w:val="auto"/>
          <w:highlight w:val="none"/>
        </w:rPr>
        <w:t>“三公”经费财政拨款支出决算情况说明</w:t>
      </w:r>
      <w:bookmarkEnd w:id="40"/>
      <w:bookmarkEnd w:id="41"/>
    </w:p>
    <w:p>
      <w:pPr>
        <w:pStyle w:val="2"/>
        <w:pageBreakBefore w:val="0"/>
        <w:widowControl w:val="0"/>
        <w:kinsoku/>
        <w:wordWrap/>
        <w:overflowPunct/>
        <w:topLinePunct w:val="0"/>
        <w:autoSpaceDE/>
        <w:autoSpaceDN/>
        <w:bidi w:val="0"/>
        <w:adjustRightInd w:val="0"/>
        <w:snapToGrid w:val="0"/>
        <w:spacing w:beforeLines="0" w:line="560" w:lineRule="exact"/>
        <w:ind w:firstLine="643" w:firstLineChars="200"/>
        <w:jc w:val="both"/>
        <w:textAlignment w:val="auto"/>
        <w:outlineLvl w:val="2"/>
        <w:rPr>
          <w:rFonts w:hint="eastAsia" w:ascii="方正楷体简体" w:hAnsi="方正楷体简体" w:eastAsia="方正楷体简体" w:cs="方正楷体简体"/>
          <w:b/>
          <w:bCs/>
          <w:color w:val="auto"/>
          <w:sz w:val="32"/>
          <w:szCs w:val="32"/>
          <w:highlight w:val="none"/>
          <w:lang w:eastAsia="zh-CN"/>
        </w:rPr>
      </w:pPr>
      <w:bookmarkStart w:id="42" w:name="_Toc15377216"/>
      <w:r>
        <w:rPr>
          <w:rFonts w:hint="eastAsia" w:ascii="方正楷体简体" w:hAnsi="方正楷体简体" w:eastAsia="方正楷体简体" w:cs="方正楷体简体"/>
          <w:b/>
          <w:bCs/>
          <w:color w:val="auto"/>
          <w:sz w:val="32"/>
          <w:szCs w:val="32"/>
          <w:highlight w:val="none"/>
          <w:lang w:eastAsia="zh-CN"/>
        </w:rPr>
        <w:t>（一）“三公”经费财政拨款支出决算总体情况说明</w:t>
      </w:r>
      <w:bookmarkEnd w:id="42"/>
    </w:p>
    <w:p>
      <w:pPr>
        <w:spacing w:line="600" w:lineRule="exact"/>
        <w:ind w:firstLine="64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20</w:t>
      </w:r>
      <w:r>
        <w:rPr>
          <w:rFonts w:hint="eastAsia" w:ascii="方正仿宋简体" w:hAnsi="方正仿宋简体" w:eastAsia="方正仿宋简体" w:cs="方正仿宋简体"/>
          <w:b/>
          <w:bCs/>
          <w:color w:val="auto"/>
          <w:sz w:val="32"/>
          <w:szCs w:val="32"/>
          <w:highlight w:val="none"/>
          <w:lang w:val="en-US" w:eastAsia="zh-CN"/>
        </w:rPr>
        <w:t>20</w:t>
      </w:r>
      <w:r>
        <w:rPr>
          <w:rFonts w:hint="eastAsia" w:ascii="方正仿宋简体" w:hAnsi="方正仿宋简体" w:eastAsia="方正仿宋简体" w:cs="方正仿宋简体"/>
          <w:b/>
          <w:bCs/>
          <w:color w:val="auto"/>
          <w:sz w:val="32"/>
          <w:szCs w:val="32"/>
          <w:highlight w:val="none"/>
        </w:rPr>
        <w:t>年“三公”经费财政拨款支出决算为</w:t>
      </w:r>
      <w:r>
        <w:rPr>
          <w:rFonts w:hint="eastAsia" w:ascii="方正仿宋简体" w:hAnsi="方正仿宋简体" w:eastAsia="方正仿宋简体" w:cs="方正仿宋简体"/>
          <w:b/>
          <w:bCs/>
          <w:color w:val="auto"/>
          <w:sz w:val="32"/>
          <w:szCs w:val="32"/>
          <w:highlight w:val="none"/>
          <w:lang w:val="en-US" w:eastAsia="zh-CN"/>
        </w:rPr>
        <w:t>144.41</w:t>
      </w:r>
      <w:r>
        <w:rPr>
          <w:rFonts w:hint="eastAsia" w:ascii="方正仿宋简体" w:hAnsi="方正仿宋简体" w:eastAsia="方正仿宋简体" w:cs="方正仿宋简体"/>
          <w:b/>
          <w:bCs/>
          <w:color w:val="auto"/>
          <w:sz w:val="32"/>
          <w:szCs w:val="32"/>
          <w:highlight w:val="none"/>
        </w:rPr>
        <w:t>万元，完成预算</w:t>
      </w:r>
      <w:r>
        <w:rPr>
          <w:rFonts w:hint="eastAsia" w:ascii="方正仿宋简体" w:hAnsi="方正仿宋简体" w:eastAsia="方正仿宋简体" w:cs="方正仿宋简体"/>
          <w:b/>
          <w:bCs/>
          <w:color w:val="auto"/>
          <w:sz w:val="32"/>
          <w:szCs w:val="32"/>
          <w:highlight w:val="none"/>
          <w:lang w:val="en-US" w:eastAsia="zh-CN"/>
        </w:rPr>
        <w:t>99.72</w:t>
      </w:r>
      <w:r>
        <w:rPr>
          <w:rFonts w:hint="eastAsia" w:ascii="方正仿宋简体" w:hAnsi="方正仿宋简体" w:eastAsia="方正仿宋简体" w:cs="方正仿宋简体"/>
          <w:b/>
          <w:bCs/>
          <w:color w:val="auto"/>
          <w:sz w:val="32"/>
          <w:szCs w:val="32"/>
          <w:highlight w:val="none"/>
        </w:rPr>
        <w:t>%，决算数小于预算数的主要原因是</w:t>
      </w:r>
      <w:r>
        <w:rPr>
          <w:rFonts w:hint="eastAsia" w:ascii="方正仿宋简体" w:hAnsi="方正仿宋简体" w:eastAsia="方正仿宋简体" w:cs="方正仿宋简体"/>
          <w:b/>
          <w:bCs/>
          <w:color w:val="auto"/>
          <w:sz w:val="32"/>
          <w:szCs w:val="32"/>
          <w:highlight w:val="none"/>
          <w:lang w:eastAsia="zh-CN"/>
        </w:rPr>
        <w:t>因公出国（境）费用因疫情原因未使用</w:t>
      </w:r>
      <w:r>
        <w:rPr>
          <w:rFonts w:hint="eastAsia" w:ascii="方正仿宋简体" w:hAnsi="方正仿宋简体" w:eastAsia="方正仿宋简体" w:cs="方正仿宋简体"/>
          <w:b/>
          <w:bCs/>
          <w:color w:val="auto"/>
          <w:sz w:val="32"/>
          <w:szCs w:val="32"/>
          <w:highlight w:val="none"/>
        </w:rPr>
        <w:t>。</w:t>
      </w:r>
    </w:p>
    <w:p>
      <w:pPr>
        <w:pStyle w:val="2"/>
        <w:pageBreakBefore w:val="0"/>
        <w:widowControl w:val="0"/>
        <w:kinsoku/>
        <w:wordWrap/>
        <w:overflowPunct/>
        <w:topLinePunct w:val="0"/>
        <w:autoSpaceDE/>
        <w:autoSpaceDN/>
        <w:bidi w:val="0"/>
        <w:adjustRightInd w:val="0"/>
        <w:snapToGrid w:val="0"/>
        <w:spacing w:beforeLines="0" w:line="560" w:lineRule="exact"/>
        <w:ind w:firstLine="643" w:firstLineChars="200"/>
        <w:jc w:val="both"/>
        <w:textAlignment w:val="auto"/>
        <w:outlineLvl w:val="2"/>
        <w:rPr>
          <w:rFonts w:hint="eastAsia" w:ascii="方正楷体简体" w:hAnsi="方正楷体简体" w:eastAsia="方正楷体简体" w:cs="方正楷体简体"/>
          <w:b/>
          <w:bCs/>
          <w:color w:val="auto"/>
          <w:sz w:val="32"/>
          <w:szCs w:val="32"/>
          <w:highlight w:val="none"/>
          <w:lang w:eastAsia="zh-CN"/>
        </w:rPr>
      </w:pPr>
      <w:bookmarkStart w:id="43" w:name="_Toc15377217"/>
      <w:r>
        <w:rPr>
          <w:rFonts w:hint="eastAsia" w:ascii="方正楷体简体" w:hAnsi="方正楷体简体" w:eastAsia="方正楷体简体" w:cs="方正楷体简体"/>
          <w:b/>
          <w:bCs/>
          <w:color w:val="auto"/>
          <w:sz w:val="32"/>
          <w:szCs w:val="32"/>
          <w:highlight w:val="none"/>
          <w:lang w:eastAsia="zh-CN"/>
        </w:rPr>
        <w:t>（二）“三公”经费财政拨款支出决算具体情况说明</w:t>
      </w:r>
      <w:bookmarkEnd w:id="43"/>
    </w:p>
    <w:p>
      <w:pPr>
        <w:spacing w:line="600" w:lineRule="exact"/>
        <w:ind w:firstLine="64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20</w:t>
      </w:r>
      <w:r>
        <w:rPr>
          <w:rFonts w:hint="eastAsia" w:ascii="方正仿宋简体" w:hAnsi="方正仿宋简体" w:eastAsia="方正仿宋简体" w:cs="方正仿宋简体"/>
          <w:b/>
          <w:bCs/>
          <w:color w:val="auto"/>
          <w:sz w:val="32"/>
          <w:szCs w:val="32"/>
          <w:highlight w:val="none"/>
          <w:lang w:val="en-US" w:eastAsia="zh-CN"/>
        </w:rPr>
        <w:t>20</w:t>
      </w:r>
      <w:r>
        <w:rPr>
          <w:rFonts w:hint="eastAsia" w:ascii="方正仿宋简体" w:hAnsi="方正仿宋简体" w:eastAsia="方正仿宋简体" w:cs="方正仿宋简体"/>
          <w:b/>
          <w:bCs/>
          <w:color w:val="auto"/>
          <w:sz w:val="32"/>
          <w:szCs w:val="32"/>
          <w:highlight w:val="none"/>
        </w:rPr>
        <w:t>年“三公”经费财政拨款支出决算中，因公出国（境）费支出决算</w:t>
      </w:r>
      <w:r>
        <w:rPr>
          <w:rFonts w:hint="eastAsia" w:ascii="方正仿宋简体" w:hAnsi="方正仿宋简体" w:eastAsia="方正仿宋简体" w:cs="方正仿宋简体"/>
          <w:b/>
          <w:bCs/>
          <w:color w:val="auto"/>
          <w:sz w:val="32"/>
          <w:szCs w:val="32"/>
          <w:highlight w:val="none"/>
          <w:lang w:val="en-US" w:eastAsia="zh-CN"/>
        </w:rPr>
        <w:t>0</w:t>
      </w:r>
      <w:r>
        <w:rPr>
          <w:rFonts w:hint="eastAsia" w:ascii="方正仿宋简体" w:hAnsi="方正仿宋简体" w:eastAsia="方正仿宋简体" w:cs="方正仿宋简体"/>
          <w:b/>
          <w:bCs/>
          <w:color w:val="auto"/>
          <w:sz w:val="32"/>
          <w:szCs w:val="32"/>
          <w:highlight w:val="none"/>
        </w:rPr>
        <w:t>万元，占</w:t>
      </w:r>
      <w:r>
        <w:rPr>
          <w:rFonts w:hint="eastAsia" w:ascii="方正仿宋简体" w:hAnsi="方正仿宋简体" w:eastAsia="方正仿宋简体" w:cs="方正仿宋简体"/>
          <w:b/>
          <w:bCs/>
          <w:color w:val="auto"/>
          <w:sz w:val="32"/>
          <w:szCs w:val="32"/>
          <w:highlight w:val="none"/>
          <w:lang w:val="en-US" w:eastAsia="zh-CN"/>
        </w:rPr>
        <w:t>0</w:t>
      </w:r>
      <w:r>
        <w:rPr>
          <w:rFonts w:hint="eastAsia" w:ascii="方正仿宋简体" w:hAnsi="方正仿宋简体" w:eastAsia="方正仿宋简体" w:cs="方正仿宋简体"/>
          <w:b/>
          <w:bCs/>
          <w:color w:val="auto"/>
          <w:sz w:val="32"/>
          <w:szCs w:val="32"/>
          <w:highlight w:val="none"/>
        </w:rPr>
        <w:t>%；公务用车购置及运行维护费支出决算</w:t>
      </w:r>
      <w:r>
        <w:rPr>
          <w:rFonts w:hint="eastAsia" w:ascii="方正仿宋简体" w:hAnsi="方正仿宋简体" w:eastAsia="方正仿宋简体" w:cs="方正仿宋简体"/>
          <w:b/>
          <w:bCs/>
          <w:color w:val="auto"/>
          <w:sz w:val="32"/>
          <w:szCs w:val="32"/>
          <w:highlight w:val="none"/>
          <w:lang w:val="en-US" w:eastAsia="zh-CN"/>
        </w:rPr>
        <w:t>141.72</w:t>
      </w:r>
      <w:r>
        <w:rPr>
          <w:rFonts w:hint="eastAsia" w:ascii="方正仿宋简体" w:hAnsi="方正仿宋简体" w:eastAsia="方正仿宋简体" w:cs="方正仿宋简体"/>
          <w:b/>
          <w:bCs/>
          <w:color w:val="auto"/>
          <w:sz w:val="32"/>
          <w:szCs w:val="32"/>
          <w:highlight w:val="none"/>
        </w:rPr>
        <w:t>万元，占</w:t>
      </w:r>
      <w:r>
        <w:rPr>
          <w:rFonts w:hint="eastAsia" w:ascii="方正仿宋简体" w:hAnsi="方正仿宋简体" w:eastAsia="方正仿宋简体" w:cs="方正仿宋简体"/>
          <w:b/>
          <w:bCs/>
          <w:color w:val="auto"/>
          <w:sz w:val="32"/>
          <w:szCs w:val="32"/>
          <w:highlight w:val="none"/>
          <w:lang w:val="en-US" w:eastAsia="zh-CN"/>
        </w:rPr>
        <w:t>98.14</w:t>
      </w:r>
      <w:r>
        <w:rPr>
          <w:rFonts w:hint="eastAsia" w:ascii="方正仿宋简体" w:hAnsi="方正仿宋简体" w:eastAsia="方正仿宋简体" w:cs="方正仿宋简体"/>
          <w:b/>
          <w:bCs/>
          <w:color w:val="auto"/>
          <w:sz w:val="32"/>
          <w:szCs w:val="32"/>
          <w:highlight w:val="none"/>
        </w:rPr>
        <w:t>%；公务接待费支出决算</w:t>
      </w:r>
      <w:r>
        <w:rPr>
          <w:rFonts w:hint="eastAsia" w:ascii="方正仿宋简体" w:hAnsi="方正仿宋简体" w:eastAsia="方正仿宋简体" w:cs="方正仿宋简体"/>
          <w:b/>
          <w:bCs/>
          <w:color w:val="auto"/>
          <w:sz w:val="32"/>
          <w:szCs w:val="32"/>
          <w:highlight w:val="none"/>
          <w:lang w:val="en-US" w:eastAsia="zh-CN"/>
        </w:rPr>
        <w:t>2.69</w:t>
      </w:r>
      <w:r>
        <w:rPr>
          <w:rFonts w:hint="eastAsia" w:ascii="方正仿宋简体" w:hAnsi="方正仿宋简体" w:eastAsia="方正仿宋简体" w:cs="方正仿宋简体"/>
          <w:b/>
          <w:bCs/>
          <w:color w:val="auto"/>
          <w:sz w:val="32"/>
          <w:szCs w:val="32"/>
          <w:highlight w:val="none"/>
        </w:rPr>
        <w:t>万元，占</w:t>
      </w:r>
      <w:r>
        <w:rPr>
          <w:rFonts w:hint="eastAsia" w:ascii="方正仿宋简体" w:hAnsi="方正仿宋简体" w:eastAsia="方正仿宋简体" w:cs="方正仿宋简体"/>
          <w:b/>
          <w:bCs/>
          <w:color w:val="auto"/>
          <w:sz w:val="32"/>
          <w:szCs w:val="32"/>
          <w:highlight w:val="none"/>
          <w:lang w:val="en-US" w:eastAsia="zh-CN"/>
        </w:rPr>
        <w:t>1.86</w:t>
      </w:r>
      <w:r>
        <w:rPr>
          <w:rFonts w:hint="eastAsia" w:ascii="方正仿宋简体" w:hAnsi="方正仿宋简体" w:eastAsia="方正仿宋简体" w:cs="方正仿宋简体"/>
          <w:b/>
          <w:bCs/>
          <w:color w:val="auto"/>
          <w:sz w:val="32"/>
          <w:szCs w:val="32"/>
          <w:highlight w:val="none"/>
        </w:rPr>
        <w:t>%。具体情况如下：</w:t>
      </w:r>
    </w:p>
    <w:p>
      <w:pPr>
        <w:pStyle w:val="2"/>
        <w:rPr>
          <w:rFonts w:hint="eastAsia" w:ascii="仿宋" w:hAnsi="仿宋" w:eastAsia="仿宋"/>
          <w:b/>
          <w:bCs/>
          <w:color w:val="auto"/>
          <w:sz w:val="32"/>
          <w:szCs w:val="32"/>
          <w:highlight w:val="none"/>
        </w:rPr>
      </w:pPr>
    </w:p>
    <w:p>
      <w:pPr>
        <w:pStyle w:val="2"/>
        <w:rPr>
          <w:rFonts w:hint="eastAsia" w:ascii="仿宋" w:hAnsi="仿宋" w:eastAsia="仿宋"/>
          <w:b/>
          <w:bCs/>
          <w:color w:val="auto"/>
          <w:sz w:val="32"/>
          <w:szCs w:val="32"/>
          <w:highlight w:val="none"/>
        </w:rPr>
      </w:pPr>
      <w:r>
        <w:rPr>
          <w:sz w:val="30"/>
        </w:rPr>
        <mc:AlternateContent>
          <mc:Choice Requires="wps">
            <w:drawing>
              <wp:anchor distT="0" distB="0" distL="114300" distR="114300" simplePos="0" relativeHeight="251666432" behindDoc="0" locked="0" layoutInCell="1" allowOverlap="1">
                <wp:simplePos x="0" y="0"/>
                <wp:positionH relativeFrom="column">
                  <wp:posOffset>2324735</wp:posOffset>
                </wp:positionH>
                <wp:positionV relativeFrom="paragraph">
                  <wp:posOffset>911860</wp:posOffset>
                </wp:positionV>
                <wp:extent cx="615315" cy="250825"/>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615315" cy="2508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color w:val="000000" w:themeColor="text1"/>
                                <w:lang w:val="en-US" w:eastAsia="zh-CN"/>
                                <w14:textFill>
                                  <w14:solidFill>
                                    <w14:schemeClr w14:val="tx1">
                                      <w14:alpha w14:val="0"/>
                                    </w14:schemeClr>
                                  </w14:solidFill>
                                </w14:textFill>
                              </w:rPr>
                            </w:pPr>
                            <w:r>
                              <w:rPr>
                                <w:rFonts w:hint="eastAsia"/>
                                <w:color w:val="000000" w:themeColor="text1"/>
                                <w:lang w:val="en-US" w:eastAsia="zh-CN"/>
                                <w14:textFill>
                                  <w14:solidFill>
                                    <w14:schemeClr w14:val="tx1">
                                      <w14:alpha w14:val="0"/>
                                    </w14:schemeClr>
                                  </w14:solidFill>
                                </w14:textFill>
                              </w:rPr>
                              <w:t>1.86%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3.05pt;margin-top:71.8pt;height:19.75pt;width:48.45pt;z-index:251666432;mso-width-relative:page;mso-height-relative:page;" filled="f" stroked="f" coordsize="21600,21600" o:gfxdata="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&#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J0pqlfbAAAACwEAAA8AAAAAAAAAAQAgAAAAIgAAAGRy&#10;cy9kb3ducmV2LnhtbFBLAQIUABQAAAAIAIdO4kDhI460OwIAAGcEAAAOAAAAAAAAAAEAIAAAACoB&#10;AABkcnMvZTJvRG9jLnhtbFBLBQYAAAAABgAGAFkBAADXBQAAAAA=&#10;">
                <v:fill on="f" focussize="0,0"/>
                <v:stroke on="f" weight="0.5pt"/>
                <v:imagedata o:title=""/>
                <o:lock v:ext="edit" aspectratio="f"/>
                <v:textbox>
                  <w:txbxContent>
                    <w:p>
                      <w:pPr>
                        <w:rPr>
                          <w:rFonts w:hint="default" w:eastAsia="宋体"/>
                          <w:color w:val="000000" w:themeColor="text1"/>
                          <w:lang w:val="en-US" w:eastAsia="zh-CN"/>
                          <w14:textFill>
                            <w14:solidFill>
                              <w14:schemeClr w14:val="tx1">
                                <w14:alpha w14:val="0"/>
                              </w14:schemeClr>
                            </w14:solidFill>
                          </w14:textFill>
                        </w:rPr>
                      </w:pPr>
                      <w:r>
                        <w:rPr>
                          <w:rFonts w:hint="eastAsia"/>
                          <w:color w:val="000000" w:themeColor="text1"/>
                          <w:lang w:val="en-US" w:eastAsia="zh-CN"/>
                          <w14:textFill>
                            <w14:solidFill>
                              <w14:schemeClr w14:val="tx1">
                                <w14:alpha w14:val="0"/>
                              </w14:schemeClr>
                            </w14:solidFill>
                          </w14:textFill>
                        </w:rPr>
                        <w:t>1.86%</w:t>
                      </w:r>
                    </w:p>
                  </w:txbxContent>
                </v:textbox>
              </v:shape>
            </w:pict>
          </mc:Fallback>
        </mc:AlternateContent>
      </w:r>
      <w:r>
        <w:rPr>
          <w:sz w:val="30"/>
        </w:rPr>
        <mc:AlternateContent>
          <mc:Choice Requires="wps">
            <w:drawing>
              <wp:anchor distT="0" distB="0" distL="114300" distR="114300" simplePos="0" relativeHeight="251665408" behindDoc="0" locked="0" layoutInCell="1" allowOverlap="1">
                <wp:simplePos x="0" y="0"/>
                <wp:positionH relativeFrom="column">
                  <wp:posOffset>2077085</wp:posOffset>
                </wp:positionH>
                <wp:positionV relativeFrom="paragraph">
                  <wp:posOffset>1789430</wp:posOffset>
                </wp:positionV>
                <wp:extent cx="762000" cy="250825"/>
                <wp:effectExtent l="0" t="0" r="0" b="0"/>
                <wp:wrapNone/>
                <wp:docPr id="12" name="文本框 12"/>
                <wp:cNvGraphicFramePr/>
                <a:graphic xmlns:a="http://schemas.openxmlformats.org/drawingml/2006/main">
                  <a:graphicData uri="http://schemas.microsoft.com/office/word/2010/wordprocessingShape">
                    <wps:wsp>
                      <wps:cNvSpPr txBox="1"/>
                      <wps:spPr>
                        <a:xfrm>
                          <a:off x="3221990" y="2703830"/>
                          <a:ext cx="762000" cy="2508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color w:val="000000" w:themeColor="text1"/>
                                <w:lang w:val="en-US" w:eastAsia="zh-CN"/>
                                <w14:textFill>
                                  <w14:solidFill>
                                    <w14:schemeClr w14:val="tx1">
                                      <w14:alpha w14:val="0"/>
                                    </w14:schemeClr>
                                  </w14:solidFill>
                                </w14:textFill>
                              </w:rPr>
                            </w:pPr>
                            <w:r>
                              <w:rPr>
                                <w:rFonts w:hint="eastAsia"/>
                                <w:color w:val="000000" w:themeColor="text1"/>
                                <w:lang w:val="en-US" w:eastAsia="zh-CN"/>
                                <w14:textFill>
                                  <w14:solidFill>
                                    <w14:schemeClr w14:val="tx1">
                                      <w14:alpha w14:val="0"/>
                                    </w14:schemeClr>
                                  </w14:solidFill>
                                </w14:textFill>
                              </w:rPr>
                              <w:t>98.14%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3.55pt;margin-top:140.9pt;height:19.75pt;width:60pt;z-index:251665408;mso-width-relative:page;mso-height-relative:page;" filled="f" stroked="f" coordsize="21600,21600" o:gfxdata="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mCTN2gAAAAsBAAAPAAAAAAAAAAEA&#10;IAAAACIAAABkcnMvZG93bnJldi54bWxQSwECFAAUAAAACACHTuJAZNcFWEYCAABzBAAADgAAAAAA&#10;AAABACAAAAApAQAAZHJzL2Uyb0RvYy54bWxQSwUGAAAAAAYABgBZAQAA4QUAAAAA&#10;">
                <v:fill on="f" focussize="0,0"/>
                <v:stroke on="f" weight="0.5pt"/>
                <v:imagedata o:title=""/>
                <o:lock v:ext="edit" aspectratio="f"/>
                <v:textbox>
                  <w:txbxContent>
                    <w:p>
                      <w:pPr>
                        <w:rPr>
                          <w:rFonts w:hint="default" w:eastAsia="宋体"/>
                          <w:color w:val="000000" w:themeColor="text1"/>
                          <w:lang w:val="en-US" w:eastAsia="zh-CN"/>
                          <w14:textFill>
                            <w14:solidFill>
                              <w14:schemeClr w14:val="tx1">
                                <w14:alpha w14:val="0"/>
                              </w14:schemeClr>
                            </w14:solidFill>
                          </w14:textFill>
                        </w:rPr>
                      </w:pPr>
                      <w:r>
                        <w:rPr>
                          <w:rFonts w:hint="eastAsia"/>
                          <w:color w:val="000000" w:themeColor="text1"/>
                          <w:lang w:val="en-US" w:eastAsia="zh-CN"/>
                          <w14:textFill>
                            <w14:solidFill>
                              <w14:schemeClr w14:val="tx1">
                                <w14:alpha w14:val="0"/>
                              </w14:schemeClr>
                            </w14:solidFill>
                          </w14:textFill>
                        </w:rPr>
                        <w:t>98.14%</w:t>
                      </w:r>
                    </w:p>
                  </w:txbxContent>
                </v:textbox>
              </v:shape>
            </w:pict>
          </mc:Fallback>
        </mc:AlternateContent>
      </w:r>
      <w:r>
        <w:rPr>
          <w:b/>
          <w:bCs/>
          <w:color w:val="auto"/>
        </w:rPr>
        <w:drawing>
          <wp:inline distT="0" distB="0" distL="114300" distR="114300">
            <wp:extent cx="4572000" cy="2743200"/>
            <wp:effectExtent l="4445" t="4445" r="14605" b="14605"/>
            <wp:docPr id="1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
        <w:jc w:val="center"/>
        <w:rPr>
          <w:rFonts w:hint="eastAsia" w:ascii="方正仿宋简体" w:hAnsi="方正仿宋简体" w:eastAsia="方正仿宋简体" w:cs="方正仿宋简体"/>
          <w:b/>
          <w:bCs/>
          <w:color w:val="auto"/>
          <w:sz w:val="28"/>
          <w:szCs w:val="28"/>
          <w:highlight w:val="none"/>
        </w:rPr>
      </w:pPr>
      <w:r>
        <w:rPr>
          <w:rFonts w:hint="eastAsia" w:ascii="方正仿宋简体" w:hAnsi="方正仿宋简体" w:eastAsia="方正仿宋简体" w:cs="方正仿宋简体"/>
          <w:b/>
          <w:bCs/>
          <w:color w:val="auto"/>
          <w:sz w:val="28"/>
          <w:szCs w:val="28"/>
          <w:highlight w:val="none"/>
        </w:rPr>
        <w:t>图7：“三公”经费财政拨款支出结构</w:t>
      </w:r>
    </w:p>
    <w:p>
      <w:pPr>
        <w:spacing w:line="600" w:lineRule="exact"/>
        <w:ind w:firstLine="640"/>
        <w:jc w:val="both"/>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1.因公出国（境）经费支出</w:t>
      </w:r>
      <w:r>
        <w:rPr>
          <w:rFonts w:hint="eastAsia" w:ascii="方正仿宋简体" w:hAnsi="方正仿宋简体" w:eastAsia="方正仿宋简体" w:cs="方正仿宋简体"/>
          <w:b/>
          <w:bCs/>
          <w:color w:val="auto"/>
          <w:sz w:val="32"/>
          <w:szCs w:val="32"/>
          <w:highlight w:val="none"/>
          <w:lang w:val="en-US" w:eastAsia="zh-CN"/>
        </w:rPr>
        <w:t>0</w:t>
      </w:r>
      <w:r>
        <w:rPr>
          <w:rFonts w:hint="eastAsia" w:ascii="方正仿宋简体" w:hAnsi="方正仿宋简体" w:eastAsia="方正仿宋简体" w:cs="方正仿宋简体"/>
          <w:b/>
          <w:bCs/>
          <w:color w:val="auto"/>
          <w:sz w:val="32"/>
          <w:szCs w:val="32"/>
          <w:highlight w:val="none"/>
        </w:rPr>
        <w:t>万元，</w:t>
      </w:r>
      <w:r>
        <w:rPr>
          <w:rStyle w:val="14"/>
          <w:rFonts w:hint="eastAsia" w:ascii="方正仿宋简体" w:hAnsi="方正仿宋简体" w:eastAsia="方正仿宋简体" w:cs="方正仿宋简体"/>
          <w:b/>
          <w:bCs/>
          <w:color w:val="auto"/>
          <w:sz w:val="32"/>
          <w:szCs w:val="32"/>
          <w:highlight w:val="none"/>
        </w:rPr>
        <w:t>完成预算</w:t>
      </w:r>
      <w:r>
        <w:rPr>
          <w:rStyle w:val="14"/>
          <w:rFonts w:hint="eastAsia" w:ascii="方正仿宋简体" w:hAnsi="方正仿宋简体" w:eastAsia="方正仿宋简体" w:cs="方正仿宋简体"/>
          <w:b/>
          <w:bCs/>
          <w:color w:val="auto"/>
          <w:sz w:val="32"/>
          <w:szCs w:val="32"/>
          <w:highlight w:val="none"/>
          <w:lang w:val="en-US" w:eastAsia="zh-CN"/>
        </w:rPr>
        <w:t>0</w:t>
      </w:r>
      <w:r>
        <w:rPr>
          <w:rStyle w:val="14"/>
          <w:rFonts w:hint="eastAsia" w:ascii="方正仿宋简体" w:hAnsi="方正仿宋简体" w:eastAsia="方正仿宋简体" w:cs="方正仿宋简体"/>
          <w:b/>
          <w:bCs/>
          <w:color w:val="auto"/>
          <w:sz w:val="32"/>
          <w:szCs w:val="32"/>
          <w:highlight w:val="none"/>
        </w:rPr>
        <w:t>%。</w:t>
      </w:r>
      <w:r>
        <w:rPr>
          <w:rFonts w:hint="eastAsia" w:ascii="方正仿宋简体" w:hAnsi="方正仿宋简体" w:eastAsia="方正仿宋简体" w:cs="方正仿宋简体"/>
          <w:b/>
          <w:bCs/>
          <w:color w:val="auto"/>
          <w:sz w:val="32"/>
          <w:szCs w:val="32"/>
          <w:highlight w:val="none"/>
        </w:rPr>
        <w:t>全年安排因公出国（境）团组</w:t>
      </w:r>
      <w:r>
        <w:rPr>
          <w:rFonts w:hint="eastAsia" w:ascii="方正仿宋简体" w:hAnsi="方正仿宋简体" w:eastAsia="方正仿宋简体" w:cs="方正仿宋简体"/>
          <w:b/>
          <w:bCs/>
          <w:color w:val="auto"/>
          <w:sz w:val="32"/>
          <w:szCs w:val="32"/>
          <w:highlight w:val="none"/>
          <w:lang w:val="en-US" w:eastAsia="zh-CN"/>
        </w:rPr>
        <w:t>0</w:t>
      </w:r>
      <w:r>
        <w:rPr>
          <w:rFonts w:hint="eastAsia" w:ascii="方正仿宋简体" w:hAnsi="方正仿宋简体" w:eastAsia="方正仿宋简体" w:cs="方正仿宋简体"/>
          <w:b/>
          <w:bCs/>
          <w:color w:val="auto"/>
          <w:sz w:val="32"/>
          <w:szCs w:val="32"/>
          <w:highlight w:val="none"/>
        </w:rPr>
        <w:t>次，出国（境）</w:t>
      </w:r>
      <w:r>
        <w:rPr>
          <w:rFonts w:hint="eastAsia" w:ascii="方正仿宋简体" w:hAnsi="方正仿宋简体" w:eastAsia="方正仿宋简体" w:cs="方正仿宋简体"/>
          <w:b/>
          <w:bCs/>
          <w:color w:val="auto"/>
          <w:sz w:val="32"/>
          <w:szCs w:val="32"/>
          <w:highlight w:val="none"/>
          <w:lang w:val="en-US" w:eastAsia="zh-CN"/>
        </w:rPr>
        <w:t>0</w:t>
      </w:r>
      <w:r>
        <w:rPr>
          <w:rFonts w:hint="eastAsia" w:ascii="方正仿宋简体" w:hAnsi="方正仿宋简体" w:eastAsia="方正仿宋简体" w:cs="方正仿宋简体"/>
          <w:b/>
          <w:bCs/>
          <w:color w:val="auto"/>
          <w:sz w:val="32"/>
          <w:szCs w:val="32"/>
          <w:highlight w:val="none"/>
        </w:rPr>
        <w:t>人。因公出国（境）支出决算比201</w:t>
      </w:r>
      <w:r>
        <w:rPr>
          <w:rFonts w:hint="eastAsia" w:ascii="方正仿宋简体" w:hAnsi="方正仿宋简体" w:eastAsia="方正仿宋简体" w:cs="方正仿宋简体"/>
          <w:b/>
          <w:bCs/>
          <w:color w:val="auto"/>
          <w:sz w:val="32"/>
          <w:szCs w:val="32"/>
          <w:highlight w:val="none"/>
          <w:lang w:val="en-US" w:eastAsia="zh-CN"/>
        </w:rPr>
        <w:t>9</w:t>
      </w:r>
      <w:r>
        <w:rPr>
          <w:rFonts w:hint="eastAsia" w:ascii="方正仿宋简体" w:hAnsi="方正仿宋简体" w:eastAsia="方正仿宋简体" w:cs="方正仿宋简体"/>
          <w:b/>
          <w:bCs/>
          <w:color w:val="auto"/>
          <w:sz w:val="32"/>
          <w:szCs w:val="32"/>
          <w:highlight w:val="none"/>
        </w:rPr>
        <w:t>年减少</w:t>
      </w:r>
      <w:r>
        <w:rPr>
          <w:rFonts w:hint="eastAsia" w:ascii="方正仿宋简体" w:hAnsi="方正仿宋简体" w:eastAsia="方正仿宋简体" w:cs="方正仿宋简体"/>
          <w:b/>
          <w:bCs/>
          <w:color w:val="auto"/>
          <w:sz w:val="32"/>
          <w:szCs w:val="32"/>
          <w:highlight w:val="none"/>
          <w:lang w:val="en-US" w:eastAsia="zh-CN"/>
        </w:rPr>
        <w:t>75.39</w:t>
      </w:r>
      <w:r>
        <w:rPr>
          <w:rFonts w:hint="eastAsia" w:ascii="方正仿宋简体" w:hAnsi="方正仿宋简体" w:eastAsia="方正仿宋简体" w:cs="方正仿宋简体"/>
          <w:b/>
          <w:bCs/>
          <w:color w:val="auto"/>
          <w:sz w:val="32"/>
          <w:szCs w:val="32"/>
          <w:highlight w:val="none"/>
        </w:rPr>
        <w:t>万元，下降</w:t>
      </w:r>
      <w:r>
        <w:rPr>
          <w:rFonts w:hint="eastAsia" w:ascii="方正仿宋简体" w:hAnsi="方正仿宋简体" w:eastAsia="方正仿宋简体" w:cs="方正仿宋简体"/>
          <w:b/>
          <w:bCs/>
          <w:color w:val="auto"/>
          <w:sz w:val="32"/>
          <w:szCs w:val="32"/>
          <w:highlight w:val="none"/>
          <w:lang w:val="en-US" w:eastAsia="zh-CN"/>
        </w:rPr>
        <w:t>100</w:t>
      </w:r>
      <w:r>
        <w:rPr>
          <w:rFonts w:hint="eastAsia" w:ascii="方正仿宋简体" w:hAnsi="方正仿宋简体" w:eastAsia="方正仿宋简体" w:cs="方正仿宋简体"/>
          <w:b/>
          <w:bCs/>
          <w:color w:val="auto"/>
          <w:sz w:val="32"/>
          <w:szCs w:val="32"/>
          <w:highlight w:val="none"/>
        </w:rPr>
        <w:t>%。主要原因是因疫情影响，无因公出国（境）任务。</w:t>
      </w:r>
    </w:p>
    <w:p>
      <w:pPr>
        <w:spacing w:line="600" w:lineRule="exact"/>
        <w:ind w:firstLine="640"/>
        <w:jc w:val="both"/>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2.公务用车购置及运行维护费支出</w:t>
      </w:r>
      <w:r>
        <w:rPr>
          <w:rFonts w:hint="eastAsia" w:ascii="方正仿宋简体" w:hAnsi="方正仿宋简体" w:eastAsia="方正仿宋简体" w:cs="方正仿宋简体"/>
          <w:b/>
          <w:bCs/>
          <w:color w:val="auto"/>
          <w:sz w:val="32"/>
          <w:szCs w:val="32"/>
          <w:highlight w:val="none"/>
          <w:lang w:val="en-US" w:eastAsia="zh-CN"/>
        </w:rPr>
        <w:t>141.72</w:t>
      </w:r>
      <w:r>
        <w:rPr>
          <w:rFonts w:hint="eastAsia" w:ascii="方正仿宋简体" w:hAnsi="方正仿宋简体" w:eastAsia="方正仿宋简体" w:cs="方正仿宋简体"/>
          <w:b/>
          <w:bCs/>
          <w:color w:val="auto"/>
          <w:sz w:val="32"/>
          <w:szCs w:val="32"/>
          <w:highlight w:val="none"/>
        </w:rPr>
        <w:t>万元</w:t>
      </w:r>
      <w:r>
        <w:rPr>
          <w:rFonts w:hint="eastAsia" w:ascii="方正仿宋简体" w:hAnsi="方正仿宋简体" w:eastAsia="方正仿宋简体" w:cs="方正仿宋简体"/>
          <w:b/>
          <w:bCs/>
          <w:color w:val="auto"/>
          <w:sz w:val="32"/>
          <w:szCs w:val="32"/>
          <w:highlight w:val="none"/>
          <w:lang w:eastAsia="zh-CN"/>
        </w:rPr>
        <w:t>，</w:t>
      </w:r>
      <w:r>
        <w:rPr>
          <w:rStyle w:val="14"/>
          <w:rFonts w:hint="eastAsia" w:ascii="方正仿宋简体" w:hAnsi="方正仿宋简体" w:eastAsia="方正仿宋简体" w:cs="方正仿宋简体"/>
          <w:b/>
          <w:bCs/>
          <w:color w:val="auto"/>
          <w:sz w:val="32"/>
          <w:szCs w:val="32"/>
          <w:highlight w:val="none"/>
        </w:rPr>
        <w:t>完成预算</w:t>
      </w:r>
      <w:r>
        <w:rPr>
          <w:rStyle w:val="14"/>
          <w:rFonts w:hint="eastAsia" w:ascii="方正仿宋简体" w:hAnsi="方正仿宋简体" w:eastAsia="方正仿宋简体" w:cs="方正仿宋简体"/>
          <w:b/>
          <w:bCs/>
          <w:color w:val="auto"/>
          <w:sz w:val="32"/>
          <w:szCs w:val="32"/>
          <w:highlight w:val="none"/>
          <w:lang w:val="en-US" w:eastAsia="zh-CN"/>
        </w:rPr>
        <w:t>100</w:t>
      </w:r>
      <w:r>
        <w:rPr>
          <w:rStyle w:val="14"/>
          <w:rFonts w:hint="eastAsia" w:ascii="方正仿宋简体" w:hAnsi="方正仿宋简体" w:eastAsia="方正仿宋简体" w:cs="方正仿宋简体"/>
          <w:b/>
          <w:bCs/>
          <w:color w:val="auto"/>
          <w:sz w:val="32"/>
          <w:szCs w:val="32"/>
          <w:highlight w:val="none"/>
        </w:rPr>
        <w:t>%。</w:t>
      </w:r>
      <w:r>
        <w:rPr>
          <w:rFonts w:hint="eastAsia" w:ascii="方正仿宋简体" w:hAnsi="方正仿宋简体" w:eastAsia="方正仿宋简体" w:cs="方正仿宋简体"/>
          <w:b/>
          <w:bCs/>
          <w:color w:val="auto"/>
          <w:sz w:val="32"/>
          <w:szCs w:val="32"/>
          <w:highlight w:val="none"/>
        </w:rPr>
        <w:t>公务用车购置及运行维护费支出决算比201</w:t>
      </w:r>
      <w:r>
        <w:rPr>
          <w:rFonts w:hint="eastAsia" w:ascii="方正仿宋简体" w:hAnsi="方正仿宋简体" w:eastAsia="方正仿宋简体" w:cs="方正仿宋简体"/>
          <w:b/>
          <w:bCs/>
          <w:color w:val="auto"/>
          <w:sz w:val="32"/>
          <w:szCs w:val="32"/>
          <w:highlight w:val="none"/>
          <w:lang w:val="en-US" w:eastAsia="zh-CN"/>
        </w:rPr>
        <w:t>9</w:t>
      </w:r>
      <w:r>
        <w:rPr>
          <w:rFonts w:hint="eastAsia" w:ascii="方正仿宋简体" w:hAnsi="方正仿宋简体" w:eastAsia="方正仿宋简体" w:cs="方正仿宋简体"/>
          <w:b/>
          <w:bCs/>
          <w:color w:val="auto"/>
          <w:sz w:val="32"/>
          <w:szCs w:val="32"/>
          <w:highlight w:val="none"/>
        </w:rPr>
        <w:t>年减少</w:t>
      </w:r>
      <w:r>
        <w:rPr>
          <w:rFonts w:hint="eastAsia" w:ascii="方正仿宋简体" w:hAnsi="方正仿宋简体" w:eastAsia="方正仿宋简体" w:cs="方正仿宋简体"/>
          <w:b/>
          <w:bCs/>
          <w:color w:val="auto"/>
          <w:sz w:val="32"/>
          <w:szCs w:val="32"/>
          <w:highlight w:val="none"/>
          <w:lang w:val="en-US" w:eastAsia="zh-CN"/>
        </w:rPr>
        <w:t>29.2</w:t>
      </w:r>
      <w:r>
        <w:rPr>
          <w:rFonts w:hint="eastAsia" w:ascii="方正仿宋简体" w:hAnsi="方正仿宋简体" w:eastAsia="方正仿宋简体" w:cs="方正仿宋简体"/>
          <w:b/>
          <w:bCs/>
          <w:color w:val="auto"/>
          <w:sz w:val="32"/>
          <w:szCs w:val="32"/>
          <w:highlight w:val="none"/>
        </w:rPr>
        <w:t>万元，下降</w:t>
      </w:r>
      <w:r>
        <w:rPr>
          <w:rFonts w:hint="eastAsia" w:ascii="方正仿宋简体" w:hAnsi="方正仿宋简体" w:eastAsia="方正仿宋简体" w:cs="方正仿宋简体"/>
          <w:b/>
          <w:bCs/>
          <w:color w:val="auto"/>
          <w:sz w:val="32"/>
          <w:szCs w:val="32"/>
          <w:highlight w:val="none"/>
          <w:lang w:val="en-US" w:eastAsia="zh-CN"/>
        </w:rPr>
        <w:t>17.08</w:t>
      </w:r>
      <w:r>
        <w:rPr>
          <w:rFonts w:hint="eastAsia" w:ascii="方正仿宋简体" w:hAnsi="方正仿宋简体" w:eastAsia="方正仿宋简体" w:cs="方正仿宋简体"/>
          <w:b/>
          <w:bCs/>
          <w:color w:val="auto"/>
          <w:sz w:val="32"/>
          <w:szCs w:val="32"/>
          <w:highlight w:val="none"/>
        </w:rPr>
        <w:t>%。主要原因是公务车辆支出减少。</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方正仿宋简体" w:hAnsi="方正仿宋简体" w:eastAsia="方正仿宋简体" w:cs="方正仿宋简体"/>
          <w:b/>
          <w:bCs/>
          <w:color w:val="auto"/>
          <w:sz w:val="32"/>
          <w:szCs w:val="32"/>
        </w:rPr>
      </w:pPr>
      <w:r>
        <w:rPr>
          <w:rFonts w:hint="eastAsia" w:ascii="方正仿宋简体" w:hAnsi="方正仿宋简体" w:eastAsia="方正仿宋简体" w:cs="方正仿宋简体"/>
          <w:b/>
          <w:bCs/>
          <w:color w:val="auto"/>
          <w:sz w:val="32"/>
          <w:szCs w:val="32"/>
          <w:highlight w:val="none"/>
        </w:rPr>
        <w:t>其中：公务用车购置支出</w:t>
      </w:r>
      <w:r>
        <w:rPr>
          <w:rFonts w:hint="eastAsia" w:ascii="方正仿宋简体" w:hAnsi="方正仿宋简体" w:eastAsia="方正仿宋简体" w:cs="方正仿宋简体"/>
          <w:b/>
          <w:bCs/>
          <w:color w:val="auto"/>
          <w:sz w:val="32"/>
          <w:szCs w:val="32"/>
          <w:highlight w:val="none"/>
          <w:lang w:val="en-US" w:eastAsia="zh-CN"/>
        </w:rPr>
        <w:t>0</w:t>
      </w:r>
      <w:r>
        <w:rPr>
          <w:rFonts w:hint="eastAsia" w:ascii="方正仿宋简体" w:hAnsi="方正仿宋简体" w:eastAsia="方正仿宋简体" w:cs="方正仿宋简体"/>
          <w:b/>
          <w:bCs/>
          <w:color w:val="auto"/>
          <w:sz w:val="32"/>
          <w:szCs w:val="32"/>
          <w:highlight w:val="none"/>
        </w:rPr>
        <w:t>万元。</w:t>
      </w:r>
      <w:r>
        <w:rPr>
          <w:rFonts w:hint="eastAsia" w:ascii="方正仿宋简体" w:hAnsi="方正仿宋简体" w:eastAsia="方正仿宋简体" w:cs="方正仿宋简体"/>
          <w:b/>
          <w:bCs/>
          <w:color w:val="auto"/>
          <w:sz w:val="32"/>
          <w:szCs w:val="32"/>
        </w:rPr>
        <w:t>全年</w:t>
      </w:r>
      <w:r>
        <w:rPr>
          <w:rFonts w:hint="eastAsia" w:ascii="方正仿宋简体" w:hAnsi="方正仿宋简体" w:eastAsia="方正仿宋简体" w:cs="方正仿宋简体"/>
          <w:b/>
          <w:bCs/>
          <w:color w:val="auto"/>
          <w:sz w:val="32"/>
          <w:szCs w:val="32"/>
          <w:lang w:eastAsia="zh-CN"/>
        </w:rPr>
        <w:t>未</w:t>
      </w:r>
      <w:r>
        <w:rPr>
          <w:rFonts w:hint="eastAsia" w:ascii="方正仿宋简体" w:hAnsi="方正仿宋简体" w:eastAsia="方正仿宋简体" w:cs="方正仿宋简体"/>
          <w:b/>
          <w:bCs/>
          <w:color w:val="auto"/>
          <w:sz w:val="32"/>
          <w:szCs w:val="32"/>
        </w:rPr>
        <w:t>购置公务车。</w:t>
      </w:r>
    </w:p>
    <w:p>
      <w:pPr>
        <w:spacing w:line="600" w:lineRule="exact"/>
        <w:ind w:firstLine="640"/>
        <w:jc w:val="both"/>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公务用车运行维护费支出</w:t>
      </w:r>
      <w:r>
        <w:rPr>
          <w:rFonts w:hint="eastAsia" w:ascii="方正仿宋简体" w:hAnsi="方正仿宋简体" w:eastAsia="方正仿宋简体" w:cs="方正仿宋简体"/>
          <w:b/>
          <w:bCs/>
          <w:color w:val="auto"/>
          <w:sz w:val="32"/>
          <w:szCs w:val="32"/>
          <w:highlight w:val="none"/>
          <w:lang w:val="en-US" w:eastAsia="zh-CN"/>
        </w:rPr>
        <w:t>141.72</w:t>
      </w:r>
      <w:r>
        <w:rPr>
          <w:rFonts w:hint="eastAsia" w:ascii="方正仿宋简体" w:hAnsi="方正仿宋简体" w:eastAsia="方正仿宋简体" w:cs="方正仿宋简体"/>
          <w:b/>
          <w:bCs/>
          <w:color w:val="auto"/>
          <w:sz w:val="32"/>
          <w:szCs w:val="32"/>
          <w:highlight w:val="none"/>
        </w:rPr>
        <w:t>万元。主要用于</w:t>
      </w:r>
      <w:r>
        <w:rPr>
          <w:rFonts w:hint="eastAsia" w:ascii="方正仿宋简体" w:hAnsi="方正仿宋简体" w:eastAsia="方正仿宋简体" w:cs="方正仿宋简体"/>
          <w:b/>
          <w:bCs/>
          <w:color w:val="auto"/>
          <w:sz w:val="32"/>
          <w:szCs w:val="32"/>
          <w:lang w:eastAsia="zh-CN"/>
        </w:rPr>
        <w:t>保障在职省领导和离退休省级干部、常委会执法检查、立法调研工作</w:t>
      </w:r>
      <w:r>
        <w:rPr>
          <w:rFonts w:hint="eastAsia" w:ascii="方正仿宋简体" w:hAnsi="方正仿宋简体" w:eastAsia="方正仿宋简体" w:cs="方正仿宋简体"/>
          <w:b/>
          <w:bCs/>
          <w:color w:val="auto"/>
          <w:sz w:val="32"/>
          <w:szCs w:val="32"/>
        </w:rPr>
        <w:t>等所需</w:t>
      </w:r>
      <w:r>
        <w:rPr>
          <w:rFonts w:hint="eastAsia" w:ascii="方正仿宋简体" w:hAnsi="方正仿宋简体" w:eastAsia="方正仿宋简体" w:cs="方正仿宋简体"/>
          <w:b/>
          <w:bCs/>
          <w:color w:val="auto"/>
          <w:sz w:val="32"/>
          <w:szCs w:val="32"/>
          <w:highlight w:val="none"/>
        </w:rPr>
        <w:t>的公务用车燃料费、维修费、过路过桥费、保险费等支出。</w:t>
      </w:r>
    </w:p>
    <w:p>
      <w:pPr>
        <w:spacing w:line="600" w:lineRule="exact"/>
        <w:ind w:firstLine="640"/>
        <w:jc w:val="both"/>
        <w:rPr>
          <w:rFonts w:hint="eastAsia" w:ascii="方正仿宋简体" w:hAnsi="方正仿宋简体" w:eastAsia="方正仿宋简体" w:cs="方正仿宋简体"/>
          <w:b/>
          <w:bCs/>
          <w:color w:val="auto"/>
          <w:sz w:val="32"/>
          <w:szCs w:val="32"/>
          <w:highlight w:val="none"/>
          <w:lang w:eastAsia="zh-CN"/>
        </w:rPr>
      </w:pPr>
      <w:r>
        <w:rPr>
          <w:rFonts w:hint="eastAsia" w:ascii="方正仿宋简体" w:hAnsi="方正仿宋简体" w:eastAsia="方正仿宋简体" w:cs="方正仿宋简体"/>
          <w:b/>
          <w:bCs/>
          <w:color w:val="auto"/>
          <w:sz w:val="32"/>
          <w:szCs w:val="32"/>
          <w:highlight w:val="none"/>
        </w:rPr>
        <w:t>3.公务接待费支出</w:t>
      </w:r>
      <w:r>
        <w:rPr>
          <w:rFonts w:hint="eastAsia" w:ascii="方正仿宋简体" w:hAnsi="方正仿宋简体" w:eastAsia="方正仿宋简体" w:cs="方正仿宋简体"/>
          <w:b/>
          <w:bCs/>
          <w:color w:val="auto"/>
          <w:sz w:val="32"/>
          <w:szCs w:val="32"/>
          <w:highlight w:val="none"/>
          <w:lang w:val="en-US" w:eastAsia="zh-CN"/>
        </w:rPr>
        <w:t>2.69</w:t>
      </w:r>
      <w:r>
        <w:rPr>
          <w:rFonts w:hint="eastAsia" w:ascii="方正仿宋简体" w:hAnsi="方正仿宋简体" w:eastAsia="方正仿宋简体" w:cs="方正仿宋简体"/>
          <w:b/>
          <w:bCs/>
          <w:color w:val="auto"/>
          <w:sz w:val="32"/>
          <w:szCs w:val="32"/>
          <w:highlight w:val="none"/>
        </w:rPr>
        <w:t>万元，</w:t>
      </w:r>
      <w:r>
        <w:rPr>
          <w:rStyle w:val="14"/>
          <w:rFonts w:hint="eastAsia" w:ascii="方正仿宋简体" w:hAnsi="方正仿宋简体" w:eastAsia="方正仿宋简体" w:cs="方正仿宋简体"/>
          <w:b/>
          <w:bCs/>
          <w:color w:val="auto"/>
          <w:sz w:val="32"/>
          <w:szCs w:val="32"/>
          <w:highlight w:val="none"/>
        </w:rPr>
        <w:t>完成预算</w:t>
      </w:r>
      <w:r>
        <w:rPr>
          <w:rStyle w:val="14"/>
          <w:rFonts w:hint="eastAsia" w:ascii="方正仿宋简体" w:hAnsi="方正仿宋简体" w:eastAsia="方正仿宋简体" w:cs="方正仿宋简体"/>
          <w:b/>
          <w:bCs/>
          <w:color w:val="auto"/>
          <w:sz w:val="32"/>
          <w:szCs w:val="32"/>
          <w:highlight w:val="none"/>
          <w:lang w:val="en-US" w:eastAsia="zh-CN"/>
        </w:rPr>
        <w:t>100</w:t>
      </w:r>
      <w:r>
        <w:rPr>
          <w:rStyle w:val="14"/>
          <w:rFonts w:hint="eastAsia" w:ascii="方正仿宋简体" w:hAnsi="方正仿宋简体" w:eastAsia="方正仿宋简体" w:cs="方正仿宋简体"/>
          <w:b/>
          <w:bCs/>
          <w:color w:val="auto"/>
          <w:sz w:val="32"/>
          <w:szCs w:val="32"/>
          <w:highlight w:val="none"/>
        </w:rPr>
        <w:t>%。</w:t>
      </w:r>
      <w:r>
        <w:rPr>
          <w:rFonts w:hint="eastAsia" w:ascii="方正仿宋简体" w:hAnsi="方正仿宋简体" w:eastAsia="方正仿宋简体" w:cs="方正仿宋简体"/>
          <w:b/>
          <w:bCs/>
          <w:color w:val="auto"/>
          <w:sz w:val="32"/>
          <w:szCs w:val="32"/>
          <w:highlight w:val="none"/>
        </w:rPr>
        <w:t>公务接待费支出决算比201</w:t>
      </w:r>
      <w:r>
        <w:rPr>
          <w:rFonts w:hint="eastAsia" w:ascii="方正仿宋简体" w:hAnsi="方正仿宋简体" w:eastAsia="方正仿宋简体" w:cs="方正仿宋简体"/>
          <w:b/>
          <w:bCs/>
          <w:color w:val="auto"/>
          <w:sz w:val="32"/>
          <w:szCs w:val="32"/>
          <w:highlight w:val="none"/>
          <w:lang w:val="en-US" w:eastAsia="zh-CN"/>
        </w:rPr>
        <w:t>9</w:t>
      </w:r>
      <w:r>
        <w:rPr>
          <w:rFonts w:hint="eastAsia" w:ascii="方正仿宋简体" w:hAnsi="方正仿宋简体" w:eastAsia="方正仿宋简体" w:cs="方正仿宋简体"/>
          <w:b/>
          <w:bCs/>
          <w:color w:val="auto"/>
          <w:sz w:val="32"/>
          <w:szCs w:val="32"/>
          <w:highlight w:val="none"/>
        </w:rPr>
        <w:t>年减少</w:t>
      </w:r>
      <w:r>
        <w:rPr>
          <w:rFonts w:hint="eastAsia" w:ascii="方正仿宋简体" w:hAnsi="方正仿宋简体" w:eastAsia="方正仿宋简体" w:cs="方正仿宋简体"/>
          <w:b/>
          <w:bCs/>
          <w:color w:val="auto"/>
          <w:sz w:val="32"/>
          <w:szCs w:val="32"/>
          <w:highlight w:val="none"/>
          <w:lang w:val="en-US" w:eastAsia="zh-CN"/>
        </w:rPr>
        <w:t>12.15</w:t>
      </w:r>
      <w:r>
        <w:rPr>
          <w:rFonts w:hint="eastAsia" w:ascii="方正仿宋简体" w:hAnsi="方正仿宋简体" w:eastAsia="方正仿宋简体" w:cs="方正仿宋简体"/>
          <w:b/>
          <w:bCs/>
          <w:color w:val="auto"/>
          <w:sz w:val="32"/>
          <w:szCs w:val="32"/>
          <w:highlight w:val="none"/>
        </w:rPr>
        <w:t>万元，下降</w:t>
      </w:r>
      <w:r>
        <w:rPr>
          <w:rFonts w:hint="eastAsia" w:ascii="方正仿宋简体" w:hAnsi="方正仿宋简体" w:eastAsia="方正仿宋简体" w:cs="方正仿宋简体"/>
          <w:b/>
          <w:bCs/>
          <w:color w:val="auto"/>
          <w:sz w:val="32"/>
          <w:szCs w:val="32"/>
          <w:highlight w:val="none"/>
          <w:lang w:val="en-US" w:eastAsia="zh-CN"/>
        </w:rPr>
        <w:t>81.87</w:t>
      </w:r>
      <w:r>
        <w:rPr>
          <w:rFonts w:hint="eastAsia" w:ascii="方正仿宋简体" w:hAnsi="方正仿宋简体" w:eastAsia="方正仿宋简体" w:cs="方正仿宋简体"/>
          <w:b/>
          <w:bCs/>
          <w:color w:val="auto"/>
          <w:sz w:val="32"/>
          <w:szCs w:val="32"/>
          <w:highlight w:val="none"/>
        </w:rPr>
        <w:t>%。主要原因是公务接待人次</w:t>
      </w:r>
      <w:r>
        <w:rPr>
          <w:rFonts w:hint="eastAsia" w:ascii="方正仿宋简体" w:hAnsi="方正仿宋简体" w:eastAsia="方正仿宋简体" w:cs="方正仿宋简体"/>
          <w:b/>
          <w:bCs/>
          <w:color w:val="auto"/>
          <w:sz w:val="32"/>
          <w:szCs w:val="32"/>
          <w:highlight w:val="none"/>
          <w:lang w:eastAsia="zh-CN"/>
        </w:rPr>
        <w:t>减少。</w:t>
      </w:r>
    </w:p>
    <w:p>
      <w:pPr>
        <w:spacing w:line="600" w:lineRule="exact"/>
        <w:ind w:firstLine="64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国内公务接待支出</w:t>
      </w:r>
      <w:r>
        <w:rPr>
          <w:rFonts w:hint="eastAsia" w:ascii="方正仿宋简体" w:hAnsi="方正仿宋简体" w:eastAsia="方正仿宋简体" w:cs="方正仿宋简体"/>
          <w:b/>
          <w:bCs/>
          <w:color w:val="auto"/>
          <w:sz w:val="32"/>
          <w:szCs w:val="32"/>
          <w:highlight w:val="none"/>
          <w:lang w:val="en-US" w:eastAsia="zh-CN"/>
        </w:rPr>
        <w:t>2.51</w:t>
      </w:r>
      <w:r>
        <w:rPr>
          <w:rFonts w:hint="eastAsia" w:ascii="方正仿宋简体" w:hAnsi="方正仿宋简体" w:eastAsia="方正仿宋简体" w:cs="方正仿宋简体"/>
          <w:b/>
          <w:bCs/>
          <w:color w:val="auto"/>
          <w:sz w:val="32"/>
          <w:szCs w:val="32"/>
          <w:highlight w:val="none"/>
        </w:rPr>
        <w:t>万元，</w:t>
      </w:r>
      <w:r>
        <w:rPr>
          <w:rFonts w:hint="eastAsia" w:ascii="方正仿宋简体" w:hAnsi="方正仿宋简体" w:eastAsia="方正仿宋简体" w:cs="方正仿宋简体"/>
          <w:b/>
          <w:bCs/>
          <w:color w:val="auto"/>
          <w:sz w:val="32"/>
          <w:szCs w:val="32"/>
        </w:rPr>
        <w:t>主要用于</w:t>
      </w:r>
      <w:r>
        <w:rPr>
          <w:rFonts w:hint="eastAsia" w:ascii="方正仿宋简体" w:hAnsi="方正仿宋简体" w:eastAsia="方正仿宋简体" w:cs="方正仿宋简体"/>
          <w:b/>
          <w:bCs/>
          <w:color w:val="auto"/>
          <w:sz w:val="32"/>
          <w:szCs w:val="32"/>
          <w:lang w:eastAsia="zh-CN"/>
        </w:rPr>
        <w:t>日常接待开支</w:t>
      </w:r>
      <w:r>
        <w:rPr>
          <w:rFonts w:hint="eastAsia" w:ascii="方正仿宋简体" w:hAnsi="方正仿宋简体" w:eastAsia="方正仿宋简体" w:cs="方正仿宋简体"/>
          <w:b/>
          <w:bCs/>
          <w:color w:val="auto"/>
          <w:sz w:val="32"/>
          <w:szCs w:val="32"/>
        </w:rPr>
        <w:t>的交通费、住宿费、用餐费等</w:t>
      </w:r>
      <w:r>
        <w:rPr>
          <w:rFonts w:hint="eastAsia" w:ascii="方正仿宋简体" w:hAnsi="方正仿宋简体" w:eastAsia="方正仿宋简体" w:cs="方正仿宋简体"/>
          <w:b/>
          <w:bCs/>
          <w:color w:val="auto"/>
          <w:sz w:val="32"/>
          <w:szCs w:val="32"/>
          <w:highlight w:val="none"/>
        </w:rPr>
        <w:t>。国内公务接待</w:t>
      </w:r>
      <w:r>
        <w:rPr>
          <w:rFonts w:hint="eastAsia" w:ascii="方正仿宋简体" w:hAnsi="方正仿宋简体" w:eastAsia="方正仿宋简体" w:cs="方正仿宋简体"/>
          <w:b/>
          <w:bCs/>
          <w:color w:val="auto"/>
          <w:sz w:val="32"/>
          <w:szCs w:val="32"/>
          <w:highlight w:val="none"/>
          <w:lang w:val="en-US" w:eastAsia="zh-CN"/>
        </w:rPr>
        <w:t>44</w:t>
      </w:r>
      <w:r>
        <w:rPr>
          <w:rFonts w:hint="eastAsia" w:ascii="方正仿宋简体" w:hAnsi="方正仿宋简体" w:eastAsia="方正仿宋简体" w:cs="方正仿宋简体"/>
          <w:b/>
          <w:bCs/>
          <w:color w:val="auto"/>
          <w:sz w:val="32"/>
          <w:szCs w:val="32"/>
          <w:highlight w:val="none"/>
        </w:rPr>
        <w:t>批次，</w:t>
      </w:r>
      <w:r>
        <w:rPr>
          <w:rFonts w:hint="eastAsia" w:ascii="方正仿宋简体" w:hAnsi="方正仿宋简体" w:eastAsia="方正仿宋简体" w:cs="方正仿宋简体"/>
          <w:b/>
          <w:bCs/>
          <w:color w:val="auto"/>
          <w:sz w:val="32"/>
          <w:szCs w:val="32"/>
          <w:highlight w:val="none"/>
          <w:lang w:val="en-US" w:eastAsia="zh-CN"/>
        </w:rPr>
        <w:t>213</w:t>
      </w:r>
      <w:r>
        <w:rPr>
          <w:rFonts w:hint="eastAsia" w:ascii="方正仿宋简体" w:hAnsi="方正仿宋简体" w:eastAsia="方正仿宋简体" w:cs="方正仿宋简体"/>
          <w:b/>
          <w:bCs/>
          <w:color w:val="auto"/>
          <w:sz w:val="32"/>
          <w:szCs w:val="32"/>
          <w:highlight w:val="none"/>
        </w:rPr>
        <w:t>人次（不包括陪同人员），共计支出</w:t>
      </w:r>
      <w:r>
        <w:rPr>
          <w:rFonts w:hint="eastAsia" w:ascii="方正仿宋简体" w:hAnsi="方正仿宋简体" w:eastAsia="方正仿宋简体" w:cs="方正仿宋简体"/>
          <w:b/>
          <w:bCs/>
          <w:color w:val="auto"/>
          <w:sz w:val="32"/>
          <w:szCs w:val="32"/>
          <w:highlight w:val="none"/>
          <w:lang w:val="en-US" w:eastAsia="zh-CN"/>
        </w:rPr>
        <w:t>2.51</w:t>
      </w:r>
      <w:r>
        <w:rPr>
          <w:rFonts w:hint="eastAsia" w:ascii="方正仿宋简体" w:hAnsi="方正仿宋简体" w:eastAsia="方正仿宋简体" w:cs="方正仿宋简体"/>
          <w:b/>
          <w:bCs/>
          <w:color w:val="auto"/>
          <w:sz w:val="32"/>
          <w:szCs w:val="32"/>
          <w:highlight w:val="none"/>
        </w:rPr>
        <w:t>万元，具体内容包括：</w:t>
      </w:r>
      <w:r>
        <w:rPr>
          <w:rFonts w:hint="eastAsia" w:ascii="方正仿宋简体" w:hAnsi="方正仿宋简体" w:eastAsia="方正仿宋简体" w:cs="方正仿宋简体"/>
          <w:b/>
          <w:bCs/>
          <w:color w:val="auto"/>
          <w:sz w:val="32"/>
          <w:szCs w:val="32"/>
        </w:rPr>
        <w:t>接待全国人大来川调研、接待兄弟省市来川调研和接待下级单位汇报工作</w:t>
      </w:r>
      <w:r>
        <w:rPr>
          <w:rFonts w:hint="eastAsia" w:ascii="方正仿宋简体" w:hAnsi="方正仿宋简体" w:eastAsia="方正仿宋简体" w:cs="方正仿宋简体"/>
          <w:b/>
          <w:bCs/>
          <w:color w:val="auto"/>
          <w:sz w:val="32"/>
          <w:szCs w:val="32"/>
          <w:highlight w:val="none"/>
        </w:rPr>
        <w:t>。</w:t>
      </w:r>
    </w:p>
    <w:p>
      <w:pPr>
        <w:spacing w:line="600" w:lineRule="exact"/>
        <w:ind w:firstLine="643" w:firstLineChars="200"/>
        <w:rPr>
          <w:rFonts w:hint="eastAsia" w:ascii="方正仿宋简体" w:hAnsi="方正仿宋简体" w:eastAsia="方正仿宋简体" w:cs="方正仿宋简体"/>
          <w:b/>
          <w:bCs/>
          <w:color w:val="auto"/>
          <w:sz w:val="32"/>
          <w:szCs w:val="32"/>
          <w:highlight w:val="none"/>
          <w:lang w:val="en-US" w:eastAsia="zh-CN"/>
        </w:rPr>
      </w:pPr>
      <w:r>
        <w:rPr>
          <w:rFonts w:hint="eastAsia" w:ascii="方正仿宋简体" w:hAnsi="方正仿宋简体" w:eastAsia="方正仿宋简体" w:cs="方正仿宋简体"/>
          <w:b/>
          <w:bCs/>
          <w:color w:val="auto"/>
          <w:sz w:val="32"/>
          <w:szCs w:val="32"/>
          <w:highlight w:val="none"/>
        </w:rPr>
        <w:t>外事接待支出</w:t>
      </w:r>
      <w:r>
        <w:rPr>
          <w:rFonts w:hint="eastAsia" w:ascii="方正仿宋简体" w:hAnsi="方正仿宋简体" w:eastAsia="方正仿宋简体" w:cs="方正仿宋简体"/>
          <w:b/>
          <w:bCs/>
          <w:color w:val="auto"/>
          <w:sz w:val="32"/>
          <w:szCs w:val="32"/>
          <w:highlight w:val="none"/>
          <w:lang w:val="en-US" w:eastAsia="zh-CN"/>
        </w:rPr>
        <w:t>0.18</w:t>
      </w:r>
      <w:r>
        <w:rPr>
          <w:rFonts w:hint="eastAsia" w:ascii="方正仿宋简体" w:hAnsi="方正仿宋简体" w:eastAsia="方正仿宋简体" w:cs="方正仿宋简体"/>
          <w:b/>
          <w:bCs/>
          <w:color w:val="auto"/>
          <w:sz w:val="32"/>
          <w:szCs w:val="32"/>
          <w:highlight w:val="none"/>
        </w:rPr>
        <w:t>万元，外事接待</w:t>
      </w:r>
      <w:r>
        <w:rPr>
          <w:rFonts w:hint="eastAsia" w:ascii="方正仿宋简体" w:hAnsi="方正仿宋简体" w:eastAsia="方正仿宋简体" w:cs="方正仿宋简体"/>
          <w:b/>
          <w:bCs/>
          <w:color w:val="auto"/>
          <w:sz w:val="32"/>
          <w:szCs w:val="32"/>
          <w:highlight w:val="none"/>
          <w:lang w:val="en-US" w:eastAsia="zh-CN"/>
        </w:rPr>
        <w:t>1</w:t>
      </w:r>
      <w:r>
        <w:rPr>
          <w:rFonts w:hint="eastAsia" w:ascii="方正仿宋简体" w:hAnsi="方正仿宋简体" w:eastAsia="方正仿宋简体" w:cs="方正仿宋简体"/>
          <w:b/>
          <w:bCs/>
          <w:color w:val="auto"/>
          <w:sz w:val="32"/>
          <w:szCs w:val="32"/>
          <w:highlight w:val="none"/>
        </w:rPr>
        <w:t>批次，</w:t>
      </w:r>
      <w:r>
        <w:rPr>
          <w:rFonts w:hint="eastAsia" w:ascii="方正仿宋简体" w:hAnsi="方正仿宋简体" w:eastAsia="方正仿宋简体" w:cs="方正仿宋简体"/>
          <w:b/>
          <w:bCs/>
          <w:color w:val="auto"/>
          <w:sz w:val="32"/>
          <w:szCs w:val="32"/>
          <w:highlight w:val="none"/>
          <w:lang w:val="en-US" w:eastAsia="zh-CN"/>
        </w:rPr>
        <w:t>1</w:t>
      </w:r>
      <w:r>
        <w:rPr>
          <w:rFonts w:hint="eastAsia" w:ascii="方正仿宋简体" w:hAnsi="方正仿宋简体" w:eastAsia="方正仿宋简体" w:cs="方正仿宋简体"/>
          <w:b/>
          <w:bCs/>
          <w:color w:val="auto"/>
          <w:sz w:val="32"/>
          <w:szCs w:val="32"/>
          <w:highlight w:val="none"/>
        </w:rPr>
        <w:t>人，共计支出</w:t>
      </w:r>
      <w:r>
        <w:rPr>
          <w:rFonts w:hint="eastAsia" w:ascii="方正仿宋简体" w:hAnsi="方正仿宋简体" w:eastAsia="方正仿宋简体" w:cs="方正仿宋简体"/>
          <w:b/>
          <w:bCs/>
          <w:color w:val="auto"/>
          <w:sz w:val="32"/>
          <w:szCs w:val="32"/>
          <w:highlight w:val="none"/>
          <w:lang w:val="en-US" w:eastAsia="zh-CN"/>
        </w:rPr>
        <w:t>0.18</w:t>
      </w:r>
      <w:r>
        <w:rPr>
          <w:rFonts w:hint="eastAsia" w:ascii="方正仿宋简体" w:hAnsi="方正仿宋简体" w:eastAsia="方正仿宋简体" w:cs="方正仿宋简体"/>
          <w:b/>
          <w:bCs/>
          <w:color w:val="auto"/>
          <w:sz w:val="32"/>
          <w:szCs w:val="32"/>
          <w:highlight w:val="none"/>
        </w:rPr>
        <w:t>万元，主要用于接待</w:t>
      </w:r>
      <w:r>
        <w:rPr>
          <w:rFonts w:hint="eastAsia" w:ascii="方正仿宋简体" w:hAnsi="方正仿宋简体" w:eastAsia="方正仿宋简体" w:cs="方正仿宋简体"/>
          <w:b/>
          <w:bCs/>
          <w:color w:val="auto"/>
          <w:sz w:val="32"/>
          <w:szCs w:val="32"/>
          <w:highlight w:val="none"/>
          <w:lang w:eastAsia="zh-CN"/>
        </w:rPr>
        <w:t>俄罗斯及独联体国家四川商会访客。</w:t>
      </w:r>
    </w:p>
    <w:p>
      <w:pPr>
        <w:spacing w:line="600" w:lineRule="exact"/>
        <w:ind w:firstLine="640"/>
        <w:outlineLvl w:val="1"/>
        <w:rPr>
          <w:rStyle w:val="25"/>
          <w:rFonts w:hint="eastAsia" w:ascii="方正黑体简体" w:hAnsi="方正黑体简体" w:eastAsia="方正黑体简体" w:cs="方正黑体简体"/>
          <w:b/>
          <w:bCs/>
          <w:color w:val="auto"/>
          <w:highlight w:val="none"/>
        </w:rPr>
      </w:pPr>
      <w:bookmarkStart w:id="44" w:name="_Toc15377218"/>
      <w:bookmarkStart w:id="45" w:name="_Toc15396610"/>
      <w:r>
        <w:rPr>
          <w:rFonts w:hint="eastAsia" w:ascii="方正黑体简体" w:hAnsi="方正黑体简体" w:eastAsia="方正黑体简体" w:cs="方正黑体简体"/>
          <w:b/>
          <w:bCs/>
          <w:color w:val="auto"/>
          <w:sz w:val="32"/>
          <w:szCs w:val="32"/>
          <w:highlight w:val="none"/>
        </w:rPr>
        <w:t>八、</w:t>
      </w:r>
      <w:r>
        <w:rPr>
          <w:rStyle w:val="25"/>
          <w:rFonts w:hint="eastAsia" w:ascii="方正黑体简体" w:hAnsi="方正黑体简体" w:eastAsia="方正黑体简体" w:cs="方正黑体简体"/>
          <w:b/>
          <w:bCs/>
          <w:color w:val="auto"/>
          <w:highlight w:val="none"/>
        </w:rPr>
        <w:t>政府性基金预算支出决算情况说明</w:t>
      </w:r>
      <w:bookmarkEnd w:id="44"/>
      <w:bookmarkEnd w:id="45"/>
    </w:p>
    <w:p>
      <w:pPr>
        <w:spacing w:line="600" w:lineRule="exact"/>
        <w:ind w:firstLine="643" w:firstLineChars="200"/>
        <w:rPr>
          <w:rFonts w:hint="eastAsia" w:ascii="方正仿宋简体" w:hAnsi="方正仿宋简体" w:eastAsia="方正仿宋简体" w:cs="方正仿宋简体"/>
          <w:b/>
          <w:bCs/>
          <w:color w:val="auto"/>
          <w:sz w:val="32"/>
          <w:szCs w:val="32"/>
          <w:highlight w:val="none"/>
          <w:lang w:eastAsia="zh-CN"/>
        </w:rPr>
      </w:pPr>
      <w:r>
        <w:rPr>
          <w:rFonts w:hint="eastAsia" w:ascii="方正仿宋简体" w:hAnsi="方正仿宋简体" w:eastAsia="方正仿宋简体" w:cs="方正仿宋简体"/>
          <w:b/>
          <w:bCs/>
          <w:color w:val="auto"/>
          <w:sz w:val="32"/>
          <w:szCs w:val="32"/>
          <w:highlight w:val="none"/>
          <w:lang w:eastAsia="zh-CN"/>
        </w:rPr>
        <w:t>20</w:t>
      </w:r>
      <w:r>
        <w:rPr>
          <w:rFonts w:hint="eastAsia" w:ascii="方正仿宋简体" w:hAnsi="方正仿宋简体" w:eastAsia="方正仿宋简体" w:cs="方正仿宋简体"/>
          <w:b/>
          <w:bCs/>
          <w:color w:val="auto"/>
          <w:sz w:val="32"/>
          <w:szCs w:val="32"/>
          <w:highlight w:val="none"/>
          <w:lang w:val="en-US" w:eastAsia="zh-CN"/>
        </w:rPr>
        <w:t>20</w:t>
      </w:r>
      <w:r>
        <w:rPr>
          <w:rFonts w:hint="eastAsia" w:ascii="方正仿宋简体" w:hAnsi="方正仿宋简体" w:eastAsia="方正仿宋简体" w:cs="方正仿宋简体"/>
          <w:b/>
          <w:bCs/>
          <w:color w:val="auto"/>
          <w:sz w:val="32"/>
          <w:szCs w:val="32"/>
          <w:highlight w:val="none"/>
          <w:lang w:eastAsia="zh-CN"/>
        </w:rPr>
        <w:t>年政府性基金预算财政拨款支出</w:t>
      </w:r>
      <w:r>
        <w:rPr>
          <w:rFonts w:hint="eastAsia" w:ascii="方正仿宋简体" w:hAnsi="方正仿宋简体" w:eastAsia="方正仿宋简体" w:cs="方正仿宋简体"/>
          <w:b/>
          <w:bCs/>
          <w:color w:val="auto"/>
          <w:sz w:val="32"/>
          <w:szCs w:val="32"/>
          <w:highlight w:val="none"/>
          <w:lang w:val="en-US" w:eastAsia="zh-CN"/>
        </w:rPr>
        <w:t>0</w:t>
      </w:r>
      <w:r>
        <w:rPr>
          <w:rFonts w:hint="eastAsia" w:ascii="方正仿宋简体" w:hAnsi="方正仿宋简体" w:eastAsia="方正仿宋简体" w:cs="方正仿宋简体"/>
          <w:b/>
          <w:bCs/>
          <w:color w:val="auto"/>
          <w:sz w:val="32"/>
          <w:szCs w:val="32"/>
          <w:highlight w:val="none"/>
          <w:lang w:eastAsia="zh-CN"/>
        </w:rPr>
        <w:t>万元。</w:t>
      </w:r>
    </w:p>
    <w:p>
      <w:pPr>
        <w:numPr>
          <w:ilvl w:val="0"/>
          <w:numId w:val="2"/>
        </w:numPr>
        <w:spacing w:line="600" w:lineRule="exact"/>
        <w:ind w:firstLine="640"/>
        <w:outlineLvl w:val="1"/>
        <w:rPr>
          <w:rStyle w:val="25"/>
          <w:rFonts w:hint="eastAsia" w:ascii="方正黑体简体" w:hAnsi="方正黑体简体" w:eastAsia="方正黑体简体" w:cs="方正黑体简体"/>
          <w:b/>
          <w:bCs/>
          <w:color w:val="auto"/>
          <w:highlight w:val="none"/>
        </w:rPr>
      </w:pPr>
      <w:bookmarkStart w:id="46" w:name="_Toc15396611"/>
      <w:bookmarkStart w:id="47" w:name="_Toc15377219"/>
      <w:r>
        <w:rPr>
          <w:rStyle w:val="25"/>
          <w:rFonts w:hint="eastAsia" w:ascii="方正黑体简体" w:hAnsi="方正黑体简体" w:eastAsia="方正黑体简体" w:cs="方正黑体简体"/>
          <w:b/>
          <w:bCs/>
          <w:color w:val="auto"/>
          <w:highlight w:val="none"/>
        </w:rPr>
        <w:t>国有资本经营预算支出决算情况说明</w:t>
      </w:r>
      <w:bookmarkEnd w:id="46"/>
      <w:bookmarkEnd w:id="47"/>
    </w:p>
    <w:p>
      <w:pPr>
        <w:spacing w:line="600" w:lineRule="exact"/>
        <w:ind w:firstLine="643" w:firstLineChars="200"/>
        <w:rPr>
          <w:rFonts w:hint="eastAsia" w:ascii="方正仿宋简体" w:hAnsi="方正仿宋简体" w:eastAsia="方正仿宋简体" w:cs="方正仿宋简体"/>
          <w:b/>
          <w:bCs/>
          <w:color w:val="auto"/>
          <w:sz w:val="32"/>
          <w:szCs w:val="32"/>
          <w:highlight w:val="none"/>
          <w:lang w:eastAsia="zh-CN"/>
        </w:rPr>
      </w:pPr>
      <w:r>
        <w:rPr>
          <w:rFonts w:hint="eastAsia" w:ascii="方正仿宋简体" w:hAnsi="方正仿宋简体" w:eastAsia="方正仿宋简体" w:cs="方正仿宋简体"/>
          <w:b/>
          <w:bCs/>
          <w:color w:val="auto"/>
          <w:sz w:val="32"/>
          <w:szCs w:val="32"/>
          <w:highlight w:val="none"/>
          <w:lang w:eastAsia="zh-CN"/>
        </w:rPr>
        <w:t>20</w:t>
      </w:r>
      <w:r>
        <w:rPr>
          <w:rFonts w:hint="eastAsia" w:ascii="方正仿宋简体" w:hAnsi="方正仿宋简体" w:eastAsia="方正仿宋简体" w:cs="方正仿宋简体"/>
          <w:b/>
          <w:bCs/>
          <w:color w:val="auto"/>
          <w:sz w:val="32"/>
          <w:szCs w:val="32"/>
          <w:highlight w:val="none"/>
          <w:lang w:val="en-US" w:eastAsia="zh-CN"/>
        </w:rPr>
        <w:t>20</w:t>
      </w:r>
      <w:r>
        <w:rPr>
          <w:rFonts w:hint="eastAsia" w:ascii="方正仿宋简体" w:hAnsi="方正仿宋简体" w:eastAsia="方正仿宋简体" w:cs="方正仿宋简体"/>
          <w:b/>
          <w:bCs/>
          <w:color w:val="auto"/>
          <w:sz w:val="32"/>
          <w:szCs w:val="32"/>
          <w:highlight w:val="none"/>
          <w:lang w:eastAsia="zh-CN"/>
        </w:rPr>
        <w:t>年国有资本经营预算财政拨款支出</w:t>
      </w:r>
      <w:r>
        <w:rPr>
          <w:rFonts w:hint="eastAsia" w:ascii="方正仿宋简体" w:hAnsi="方正仿宋简体" w:eastAsia="方正仿宋简体" w:cs="方正仿宋简体"/>
          <w:b/>
          <w:bCs/>
          <w:color w:val="auto"/>
          <w:sz w:val="32"/>
          <w:szCs w:val="32"/>
          <w:highlight w:val="none"/>
          <w:lang w:val="en-US" w:eastAsia="zh-CN"/>
        </w:rPr>
        <w:t>0</w:t>
      </w:r>
      <w:r>
        <w:rPr>
          <w:rFonts w:hint="eastAsia" w:ascii="方正仿宋简体" w:hAnsi="方正仿宋简体" w:eastAsia="方正仿宋简体" w:cs="方正仿宋简体"/>
          <w:b/>
          <w:bCs/>
          <w:color w:val="auto"/>
          <w:sz w:val="32"/>
          <w:szCs w:val="32"/>
          <w:highlight w:val="none"/>
          <w:lang w:eastAsia="zh-CN"/>
        </w:rPr>
        <w:t>万元。</w:t>
      </w:r>
    </w:p>
    <w:p>
      <w:pPr>
        <w:numPr>
          <w:ilvl w:val="0"/>
          <w:numId w:val="2"/>
        </w:numPr>
        <w:spacing w:line="600" w:lineRule="exact"/>
        <w:ind w:firstLine="640"/>
        <w:outlineLvl w:val="1"/>
        <w:rPr>
          <w:rStyle w:val="25"/>
          <w:rFonts w:hint="eastAsia" w:ascii="方正黑体简体" w:hAnsi="方正黑体简体" w:eastAsia="方正黑体简体" w:cs="方正黑体简体"/>
          <w:b/>
          <w:bCs/>
          <w:color w:val="auto"/>
          <w:highlight w:val="none"/>
        </w:rPr>
      </w:pPr>
      <w:bookmarkStart w:id="48" w:name="_Toc15396612"/>
      <w:bookmarkStart w:id="49" w:name="_Toc15377221"/>
      <w:r>
        <w:rPr>
          <w:rStyle w:val="25"/>
          <w:rFonts w:hint="eastAsia" w:ascii="方正黑体简体" w:hAnsi="方正黑体简体" w:eastAsia="方正黑体简体" w:cs="方正黑体简体"/>
          <w:b/>
          <w:bCs/>
          <w:color w:val="auto"/>
          <w:highlight w:val="none"/>
        </w:rPr>
        <w:t>其他重要事项的情况说明</w:t>
      </w:r>
      <w:bookmarkEnd w:id="48"/>
      <w:bookmarkEnd w:id="49"/>
    </w:p>
    <w:p>
      <w:pPr>
        <w:pStyle w:val="2"/>
        <w:pageBreakBefore w:val="0"/>
        <w:widowControl w:val="0"/>
        <w:kinsoku/>
        <w:wordWrap/>
        <w:overflowPunct/>
        <w:topLinePunct w:val="0"/>
        <w:autoSpaceDE/>
        <w:autoSpaceDN/>
        <w:bidi w:val="0"/>
        <w:adjustRightInd w:val="0"/>
        <w:snapToGrid w:val="0"/>
        <w:spacing w:beforeLines="0" w:line="560" w:lineRule="exact"/>
        <w:ind w:firstLine="643" w:firstLineChars="200"/>
        <w:jc w:val="both"/>
        <w:textAlignment w:val="auto"/>
        <w:outlineLvl w:val="2"/>
        <w:rPr>
          <w:rFonts w:hint="eastAsia" w:ascii="方正楷体简体" w:hAnsi="方正楷体简体" w:eastAsia="方正楷体简体" w:cs="方正楷体简体"/>
          <w:b/>
          <w:bCs/>
          <w:color w:val="auto"/>
          <w:sz w:val="32"/>
          <w:szCs w:val="32"/>
          <w:highlight w:val="none"/>
          <w:lang w:eastAsia="zh-CN"/>
        </w:rPr>
      </w:pPr>
      <w:bookmarkStart w:id="50" w:name="_Toc15377222"/>
      <w:r>
        <w:rPr>
          <w:rFonts w:hint="eastAsia" w:ascii="方正楷体简体" w:hAnsi="方正楷体简体" w:eastAsia="方正楷体简体" w:cs="方正楷体简体"/>
          <w:b/>
          <w:bCs/>
          <w:color w:val="auto"/>
          <w:sz w:val="32"/>
          <w:szCs w:val="32"/>
          <w:highlight w:val="none"/>
          <w:lang w:eastAsia="zh-CN"/>
        </w:rPr>
        <w:t>（一）机关运行经费支出情况</w:t>
      </w:r>
      <w:bookmarkEnd w:id="50"/>
    </w:p>
    <w:p>
      <w:pPr>
        <w:spacing w:line="600" w:lineRule="exact"/>
        <w:ind w:firstLine="643" w:firstLineChars="200"/>
        <w:rPr>
          <w:rFonts w:hint="eastAsia" w:ascii="方正仿宋简体" w:hAnsi="方正仿宋简体" w:eastAsia="方正仿宋简体" w:cs="方正仿宋简体"/>
          <w:b/>
          <w:bCs/>
          <w:color w:val="auto"/>
          <w:sz w:val="32"/>
          <w:szCs w:val="32"/>
          <w:highlight w:val="none"/>
          <w:lang w:eastAsia="zh-CN"/>
        </w:rPr>
      </w:pPr>
      <w:r>
        <w:rPr>
          <w:rFonts w:hint="eastAsia" w:ascii="方正仿宋简体" w:hAnsi="方正仿宋简体" w:eastAsia="方正仿宋简体" w:cs="方正仿宋简体"/>
          <w:b/>
          <w:bCs/>
          <w:color w:val="auto"/>
          <w:sz w:val="32"/>
          <w:szCs w:val="32"/>
          <w:highlight w:val="none"/>
          <w:lang w:eastAsia="zh-CN"/>
        </w:rPr>
        <w:t>20</w:t>
      </w:r>
      <w:r>
        <w:rPr>
          <w:rFonts w:hint="eastAsia" w:ascii="方正仿宋简体" w:hAnsi="方正仿宋简体" w:eastAsia="方正仿宋简体" w:cs="方正仿宋简体"/>
          <w:b/>
          <w:bCs/>
          <w:color w:val="auto"/>
          <w:sz w:val="32"/>
          <w:szCs w:val="32"/>
          <w:highlight w:val="none"/>
          <w:lang w:val="en-US" w:eastAsia="zh-CN"/>
        </w:rPr>
        <w:t>20</w:t>
      </w:r>
      <w:r>
        <w:rPr>
          <w:rFonts w:hint="eastAsia" w:ascii="方正仿宋简体" w:hAnsi="方正仿宋简体" w:eastAsia="方正仿宋简体" w:cs="方正仿宋简体"/>
          <w:b/>
          <w:bCs/>
          <w:color w:val="auto"/>
          <w:sz w:val="32"/>
          <w:szCs w:val="32"/>
          <w:highlight w:val="none"/>
          <w:lang w:eastAsia="zh-CN"/>
        </w:rPr>
        <w:t>年，省人大常委会机关运行经费支出</w:t>
      </w:r>
      <w:r>
        <w:rPr>
          <w:rFonts w:hint="eastAsia" w:ascii="方正仿宋简体" w:hAnsi="方正仿宋简体" w:eastAsia="方正仿宋简体" w:cs="方正仿宋简体"/>
          <w:b/>
          <w:bCs/>
          <w:color w:val="auto"/>
          <w:sz w:val="32"/>
          <w:szCs w:val="32"/>
          <w:highlight w:val="none"/>
          <w:lang w:val="en-US" w:eastAsia="zh-CN"/>
        </w:rPr>
        <w:t>1086.24</w:t>
      </w:r>
      <w:r>
        <w:rPr>
          <w:rFonts w:hint="eastAsia" w:ascii="方正仿宋简体" w:hAnsi="方正仿宋简体" w:eastAsia="方正仿宋简体" w:cs="方正仿宋简体"/>
          <w:b/>
          <w:bCs/>
          <w:color w:val="auto"/>
          <w:sz w:val="32"/>
          <w:szCs w:val="32"/>
          <w:highlight w:val="none"/>
          <w:lang w:eastAsia="zh-CN"/>
        </w:rPr>
        <w:t>万元，比201</w:t>
      </w:r>
      <w:r>
        <w:rPr>
          <w:rFonts w:hint="eastAsia" w:ascii="方正仿宋简体" w:hAnsi="方正仿宋简体" w:eastAsia="方正仿宋简体" w:cs="方正仿宋简体"/>
          <w:b/>
          <w:bCs/>
          <w:color w:val="auto"/>
          <w:sz w:val="32"/>
          <w:szCs w:val="32"/>
          <w:highlight w:val="none"/>
          <w:lang w:val="en-US" w:eastAsia="zh-CN"/>
        </w:rPr>
        <w:t>9</w:t>
      </w:r>
      <w:r>
        <w:rPr>
          <w:rFonts w:hint="eastAsia" w:ascii="方正仿宋简体" w:hAnsi="方正仿宋简体" w:eastAsia="方正仿宋简体" w:cs="方正仿宋简体"/>
          <w:b/>
          <w:bCs/>
          <w:color w:val="auto"/>
          <w:sz w:val="32"/>
          <w:szCs w:val="32"/>
          <w:highlight w:val="none"/>
          <w:lang w:eastAsia="zh-CN"/>
        </w:rPr>
        <w:t>年减少</w:t>
      </w:r>
      <w:r>
        <w:rPr>
          <w:rFonts w:hint="eastAsia" w:ascii="方正仿宋简体" w:hAnsi="方正仿宋简体" w:eastAsia="方正仿宋简体" w:cs="方正仿宋简体"/>
          <w:b/>
          <w:bCs/>
          <w:color w:val="auto"/>
          <w:sz w:val="32"/>
          <w:szCs w:val="32"/>
          <w:highlight w:val="none"/>
          <w:lang w:val="en-US" w:eastAsia="zh-CN"/>
        </w:rPr>
        <w:t>3453.05</w:t>
      </w:r>
      <w:r>
        <w:rPr>
          <w:rFonts w:hint="eastAsia" w:ascii="方正仿宋简体" w:hAnsi="方正仿宋简体" w:eastAsia="方正仿宋简体" w:cs="方正仿宋简体"/>
          <w:b/>
          <w:bCs/>
          <w:color w:val="auto"/>
          <w:sz w:val="32"/>
          <w:szCs w:val="32"/>
          <w:highlight w:val="none"/>
          <w:lang w:eastAsia="zh-CN"/>
        </w:rPr>
        <w:t>万元，下降</w:t>
      </w:r>
      <w:r>
        <w:rPr>
          <w:rFonts w:hint="eastAsia" w:ascii="方正仿宋简体" w:hAnsi="方正仿宋简体" w:eastAsia="方正仿宋简体" w:cs="方正仿宋简体"/>
          <w:b/>
          <w:bCs/>
          <w:color w:val="auto"/>
          <w:sz w:val="32"/>
          <w:szCs w:val="32"/>
          <w:highlight w:val="none"/>
          <w:lang w:val="en-US" w:eastAsia="zh-CN"/>
        </w:rPr>
        <w:t>76.07</w:t>
      </w:r>
      <w:r>
        <w:rPr>
          <w:rFonts w:hint="eastAsia" w:ascii="方正仿宋简体" w:hAnsi="方正仿宋简体" w:eastAsia="方正仿宋简体" w:cs="方正仿宋简体"/>
          <w:b/>
          <w:bCs/>
          <w:color w:val="auto"/>
          <w:sz w:val="32"/>
          <w:szCs w:val="32"/>
          <w:highlight w:val="none"/>
          <w:lang w:eastAsia="zh-CN"/>
        </w:rPr>
        <w:t>%。主要原因是本年决算与上年决算口径不一致，且受新冠肺炎疫情影响，机关运行经费中的培训费、差旅费、“三公”经费等支出减少。</w:t>
      </w:r>
    </w:p>
    <w:p>
      <w:pPr>
        <w:pStyle w:val="2"/>
        <w:pageBreakBefore w:val="0"/>
        <w:widowControl w:val="0"/>
        <w:kinsoku/>
        <w:wordWrap/>
        <w:overflowPunct/>
        <w:topLinePunct w:val="0"/>
        <w:autoSpaceDE/>
        <w:autoSpaceDN/>
        <w:bidi w:val="0"/>
        <w:adjustRightInd w:val="0"/>
        <w:snapToGrid w:val="0"/>
        <w:spacing w:beforeLines="0" w:line="560" w:lineRule="exact"/>
        <w:ind w:firstLine="643" w:firstLineChars="200"/>
        <w:jc w:val="both"/>
        <w:textAlignment w:val="auto"/>
        <w:outlineLvl w:val="2"/>
        <w:rPr>
          <w:rFonts w:hint="eastAsia" w:ascii="方正楷体简体" w:hAnsi="方正楷体简体" w:eastAsia="方正楷体简体" w:cs="方正楷体简体"/>
          <w:b/>
          <w:bCs/>
          <w:color w:val="auto"/>
          <w:sz w:val="32"/>
          <w:szCs w:val="32"/>
          <w:highlight w:val="none"/>
          <w:lang w:eastAsia="zh-CN"/>
        </w:rPr>
      </w:pPr>
      <w:bookmarkStart w:id="51" w:name="_Toc15377223"/>
      <w:r>
        <w:rPr>
          <w:rFonts w:hint="eastAsia" w:ascii="方正楷体简体" w:hAnsi="方正楷体简体" w:eastAsia="方正楷体简体" w:cs="方正楷体简体"/>
          <w:b/>
          <w:bCs/>
          <w:color w:val="auto"/>
          <w:sz w:val="32"/>
          <w:szCs w:val="32"/>
          <w:highlight w:val="none"/>
          <w:lang w:eastAsia="zh-CN"/>
        </w:rPr>
        <w:t>（二）政府采购支出情况</w:t>
      </w:r>
      <w:bookmarkEnd w:id="51"/>
    </w:p>
    <w:p>
      <w:pPr>
        <w:spacing w:line="600" w:lineRule="exact"/>
        <w:ind w:firstLine="643" w:firstLineChars="200"/>
        <w:rPr>
          <w:rFonts w:hint="eastAsia" w:ascii="方正仿宋简体" w:hAnsi="方正仿宋简体" w:eastAsia="方正仿宋简体" w:cs="方正仿宋简体"/>
          <w:b/>
          <w:bCs/>
          <w:color w:val="auto"/>
          <w:sz w:val="32"/>
          <w:szCs w:val="32"/>
          <w:highlight w:val="none"/>
          <w:lang w:val="en-US" w:eastAsia="zh-CN"/>
        </w:rPr>
      </w:pPr>
      <w:r>
        <w:rPr>
          <w:rFonts w:hint="eastAsia" w:ascii="方正仿宋简体" w:hAnsi="方正仿宋简体" w:eastAsia="方正仿宋简体" w:cs="方正仿宋简体"/>
          <w:b/>
          <w:bCs/>
          <w:color w:val="auto"/>
          <w:sz w:val="32"/>
          <w:szCs w:val="32"/>
          <w:highlight w:val="none"/>
          <w:lang w:eastAsia="zh-CN"/>
        </w:rPr>
        <w:t>20</w:t>
      </w:r>
      <w:r>
        <w:rPr>
          <w:rFonts w:hint="eastAsia" w:ascii="方正仿宋简体" w:hAnsi="方正仿宋简体" w:eastAsia="方正仿宋简体" w:cs="方正仿宋简体"/>
          <w:b/>
          <w:bCs/>
          <w:color w:val="auto"/>
          <w:sz w:val="32"/>
          <w:szCs w:val="32"/>
          <w:highlight w:val="none"/>
          <w:lang w:val="en-US" w:eastAsia="zh-CN"/>
        </w:rPr>
        <w:t>20</w:t>
      </w:r>
      <w:r>
        <w:rPr>
          <w:rFonts w:hint="eastAsia" w:ascii="方正仿宋简体" w:hAnsi="方正仿宋简体" w:eastAsia="方正仿宋简体" w:cs="方正仿宋简体"/>
          <w:b/>
          <w:bCs/>
          <w:color w:val="auto"/>
          <w:sz w:val="32"/>
          <w:szCs w:val="32"/>
          <w:highlight w:val="none"/>
          <w:lang w:eastAsia="zh-CN"/>
        </w:rPr>
        <w:t>年，省人大常委会办公厅政府采购支出总额</w:t>
      </w:r>
      <w:r>
        <w:rPr>
          <w:rFonts w:hint="eastAsia" w:ascii="方正仿宋简体" w:hAnsi="方正仿宋简体" w:eastAsia="方正仿宋简体" w:cs="方正仿宋简体"/>
          <w:b/>
          <w:bCs/>
          <w:color w:val="auto"/>
          <w:sz w:val="32"/>
          <w:szCs w:val="32"/>
          <w:highlight w:val="none"/>
          <w:lang w:val="en-US" w:eastAsia="zh-CN"/>
        </w:rPr>
        <w:t>2369.42</w:t>
      </w:r>
      <w:r>
        <w:rPr>
          <w:rFonts w:hint="eastAsia" w:ascii="方正仿宋简体" w:hAnsi="方正仿宋简体" w:eastAsia="方正仿宋简体" w:cs="方正仿宋简体"/>
          <w:b/>
          <w:bCs/>
          <w:color w:val="auto"/>
          <w:sz w:val="32"/>
          <w:szCs w:val="32"/>
          <w:highlight w:val="none"/>
          <w:lang w:eastAsia="zh-CN"/>
        </w:rPr>
        <w:t>万元，其中：政府采购货物支出</w:t>
      </w:r>
      <w:r>
        <w:rPr>
          <w:rFonts w:hint="eastAsia" w:ascii="方正仿宋简体" w:hAnsi="方正仿宋简体" w:eastAsia="方正仿宋简体" w:cs="方正仿宋简体"/>
          <w:b/>
          <w:bCs/>
          <w:color w:val="auto"/>
          <w:sz w:val="32"/>
          <w:szCs w:val="32"/>
          <w:highlight w:val="none"/>
          <w:lang w:val="en-US" w:eastAsia="zh-CN"/>
        </w:rPr>
        <w:t>507.65</w:t>
      </w:r>
      <w:r>
        <w:rPr>
          <w:rFonts w:hint="eastAsia" w:ascii="方正仿宋简体" w:hAnsi="方正仿宋简体" w:eastAsia="方正仿宋简体" w:cs="方正仿宋简体"/>
          <w:b/>
          <w:bCs/>
          <w:color w:val="auto"/>
          <w:sz w:val="32"/>
          <w:szCs w:val="32"/>
          <w:highlight w:val="none"/>
          <w:lang w:eastAsia="zh-CN"/>
        </w:rPr>
        <w:t>万元、政府采购工程支出</w:t>
      </w:r>
      <w:r>
        <w:rPr>
          <w:rFonts w:hint="eastAsia" w:ascii="方正仿宋简体" w:hAnsi="方正仿宋简体" w:eastAsia="方正仿宋简体" w:cs="方正仿宋简体"/>
          <w:b/>
          <w:bCs/>
          <w:color w:val="auto"/>
          <w:sz w:val="32"/>
          <w:szCs w:val="32"/>
          <w:highlight w:val="none"/>
          <w:lang w:val="en-US" w:eastAsia="zh-CN"/>
        </w:rPr>
        <w:t>433.08</w:t>
      </w:r>
      <w:r>
        <w:rPr>
          <w:rFonts w:hint="eastAsia" w:ascii="方正仿宋简体" w:hAnsi="方正仿宋简体" w:eastAsia="方正仿宋简体" w:cs="方正仿宋简体"/>
          <w:b/>
          <w:bCs/>
          <w:color w:val="auto"/>
          <w:sz w:val="32"/>
          <w:szCs w:val="32"/>
          <w:highlight w:val="none"/>
          <w:lang w:eastAsia="zh-CN"/>
        </w:rPr>
        <w:t>万元、政府采购服务支出</w:t>
      </w:r>
      <w:r>
        <w:rPr>
          <w:rFonts w:hint="eastAsia" w:ascii="方正仿宋简体" w:hAnsi="方正仿宋简体" w:eastAsia="方正仿宋简体" w:cs="方正仿宋简体"/>
          <w:b/>
          <w:bCs/>
          <w:color w:val="auto"/>
          <w:sz w:val="32"/>
          <w:szCs w:val="32"/>
          <w:highlight w:val="none"/>
          <w:lang w:val="en-US" w:eastAsia="zh-CN"/>
        </w:rPr>
        <w:t>1428.69</w:t>
      </w:r>
      <w:r>
        <w:rPr>
          <w:rFonts w:hint="eastAsia" w:ascii="方正仿宋简体" w:hAnsi="方正仿宋简体" w:eastAsia="方正仿宋简体" w:cs="方正仿宋简体"/>
          <w:b/>
          <w:bCs/>
          <w:color w:val="auto"/>
          <w:sz w:val="32"/>
          <w:szCs w:val="32"/>
          <w:highlight w:val="none"/>
          <w:lang w:eastAsia="zh-CN"/>
        </w:rPr>
        <w:t>万元。主要用于会议服务、维修项目、办公设备购置及公务车加油等</w:t>
      </w:r>
      <w:r>
        <w:rPr>
          <w:rFonts w:hint="eastAsia" w:ascii="方正仿宋简体" w:hAnsi="方正仿宋简体" w:eastAsia="方正仿宋简体" w:cs="方正仿宋简体"/>
          <w:b/>
          <w:bCs/>
          <w:color w:val="auto"/>
          <w:sz w:val="32"/>
          <w:szCs w:val="32"/>
          <w:highlight w:val="none"/>
          <w:lang w:val="en-US" w:eastAsia="zh-CN"/>
        </w:rPr>
        <w:t>。授予中小企业合同金额760万元，占政府采购支出总额的32.08%，其中：授予小微企业合同金额0万元，占政府采购支出总额的0%。</w:t>
      </w:r>
    </w:p>
    <w:p>
      <w:pPr>
        <w:pStyle w:val="2"/>
        <w:pageBreakBefore w:val="0"/>
        <w:widowControl w:val="0"/>
        <w:kinsoku/>
        <w:wordWrap/>
        <w:overflowPunct/>
        <w:topLinePunct w:val="0"/>
        <w:autoSpaceDE/>
        <w:autoSpaceDN/>
        <w:bidi w:val="0"/>
        <w:adjustRightInd w:val="0"/>
        <w:snapToGrid w:val="0"/>
        <w:spacing w:beforeLines="0" w:line="560" w:lineRule="exact"/>
        <w:ind w:firstLine="643" w:firstLineChars="200"/>
        <w:jc w:val="both"/>
        <w:textAlignment w:val="auto"/>
        <w:outlineLvl w:val="2"/>
        <w:rPr>
          <w:rFonts w:hint="eastAsia" w:ascii="方正楷体简体" w:hAnsi="方正楷体简体" w:eastAsia="方正楷体简体" w:cs="方正楷体简体"/>
          <w:b/>
          <w:bCs/>
          <w:color w:val="auto"/>
          <w:sz w:val="32"/>
          <w:szCs w:val="32"/>
          <w:highlight w:val="none"/>
          <w:lang w:eastAsia="zh-CN"/>
        </w:rPr>
      </w:pPr>
      <w:bookmarkStart w:id="52" w:name="_Toc15377224"/>
      <w:r>
        <w:rPr>
          <w:rFonts w:hint="eastAsia" w:ascii="方正楷体简体" w:hAnsi="方正楷体简体" w:eastAsia="方正楷体简体" w:cs="方正楷体简体"/>
          <w:b/>
          <w:bCs/>
          <w:color w:val="auto"/>
          <w:sz w:val="32"/>
          <w:szCs w:val="32"/>
          <w:highlight w:val="none"/>
          <w:lang w:eastAsia="zh-CN"/>
        </w:rPr>
        <w:t>（三）国有资产占有使用情况</w:t>
      </w:r>
      <w:bookmarkEnd w:id="52"/>
    </w:p>
    <w:p>
      <w:pPr>
        <w:autoSpaceDE w:val="0"/>
        <w:autoSpaceDN w:val="0"/>
        <w:adjustRightInd w:val="0"/>
        <w:spacing w:line="600" w:lineRule="exact"/>
        <w:ind w:firstLine="643" w:firstLineChars="200"/>
        <w:jc w:val="both"/>
        <w:rPr>
          <w:rFonts w:hint="eastAsia" w:ascii="方正仿宋简体" w:hAnsi="方正仿宋简体" w:eastAsia="方正仿宋简体" w:cs="方正仿宋简体"/>
          <w:b/>
          <w:bCs/>
          <w:color w:val="auto"/>
          <w:sz w:val="32"/>
          <w:szCs w:val="32"/>
        </w:rPr>
      </w:pPr>
      <w:r>
        <w:rPr>
          <w:rFonts w:hint="eastAsia" w:ascii="方正仿宋简体" w:hAnsi="方正仿宋简体" w:eastAsia="方正仿宋简体" w:cs="方正仿宋简体"/>
          <w:b/>
          <w:bCs/>
          <w:color w:val="auto"/>
          <w:sz w:val="32"/>
          <w:szCs w:val="32"/>
          <w:highlight w:val="none"/>
        </w:rPr>
        <w:t>截至20</w:t>
      </w:r>
      <w:r>
        <w:rPr>
          <w:rFonts w:hint="eastAsia" w:ascii="方正仿宋简体" w:hAnsi="方正仿宋简体" w:eastAsia="方正仿宋简体" w:cs="方正仿宋简体"/>
          <w:b/>
          <w:bCs/>
          <w:color w:val="auto"/>
          <w:sz w:val="32"/>
          <w:szCs w:val="32"/>
          <w:highlight w:val="none"/>
          <w:lang w:val="en-US" w:eastAsia="zh-CN"/>
        </w:rPr>
        <w:t>20</w:t>
      </w:r>
      <w:r>
        <w:rPr>
          <w:rFonts w:hint="eastAsia" w:ascii="方正仿宋简体" w:hAnsi="方正仿宋简体" w:eastAsia="方正仿宋简体" w:cs="方正仿宋简体"/>
          <w:b/>
          <w:bCs/>
          <w:color w:val="auto"/>
          <w:sz w:val="32"/>
          <w:szCs w:val="32"/>
          <w:highlight w:val="none"/>
        </w:rPr>
        <w:t>年12月31日，</w:t>
      </w:r>
      <w:r>
        <w:rPr>
          <w:rFonts w:hint="eastAsia" w:ascii="方正仿宋简体" w:hAnsi="方正仿宋简体" w:eastAsia="方正仿宋简体" w:cs="方正仿宋简体"/>
          <w:b/>
          <w:bCs/>
          <w:color w:val="auto"/>
          <w:sz w:val="32"/>
          <w:szCs w:val="32"/>
          <w:lang w:eastAsia="zh-CN"/>
        </w:rPr>
        <w:t>省人大常委会办公厅</w:t>
      </w:r>
      <w:r>
        <w:rPr>
          <w:rFonts w:hint="eastAsia" w:ascii="方正仿宋简体" w:hAnsi="方正仿宋简体" w:eastAsia="方正仿宋简体" w:cs="方正仿宋简体"/>
          <w:b/>
          <w:bCs/>
          <w:color w:val="auto"/>
          <w:sz w:val="32"/>
          <w:szCs w:val="32"/>
          <w:highlight w:val="none"/>
        </w:rPr>
        <w:t>共有车辆</w:t>
      </w:r>
      <w:r>
        <w:rPr>
          <w:rFonts w:hint="eastAsia" w:ascii="方正仿宋简体" w:hAnsi="方正仿宋简体" w:eastAsia="方正仿宋简体" w:cs="方正仿宋简体"/>
          <w:b/>
          <w:bCs/>
          <w:color w:val="auto"/>
          <w:sz w:val="32"/>
          <w:szCs w:val="32"/>
          <w:highlight w:val="none"/>
          <w:lang w:val="en-US" w:eastAsia="zh-CN"/>
        </w:rPr>
        <w:t>38</w:t>
      </w:r>
      <w:r>
        <w:rPr>
          <w:rFonts w:hint="eastAsia" w:ascii="方正仿宋简体" w:hAnsi="方正仿宋简体" w:eastAsia="方正仿宋简体" w:cs="方正仿宋简体"/>
          <w:b/>
          <w:bCs/>
          <w:color w:val="auto"/>
          <w:sz w:val="32"/>
          <w:szCs w:val="32"/>
          <w:highlight w:val="none"/>
        </w:rPr>
        <w:t>辆，其中：主要领导干部用车</w:t>
      </w:r>
      <w:r>
        <w:rPr>
          <w:rFonts w:hint="eastAsia" w:ascii="方正仿宋简体" w:hAnsi="方正仿宋简体" w:eastAsia="方正仿宋简体" w:cs="方正仿宋简体"/>
          <w:b/>
          <w:bCs/>
          <w:color w:val="auto"/>
          <w:sz w:val="32"/>
          <w:szCs w:val="32"/>
          <w:highlight w:val="none"/>
          <w:lang w:val="en-US" w:eastAsia="zh-CN"/>
        </w:rPr>
        <w:t>23</w:t>
      </w:r>
      <w:r>
        <w:rPr>
          <w:rFonts w:hint="eastAsia" w:ascii="方正仿宋简体" w:hAnsi="方正仿宋简体" w:eastAsia="方正仿宋简体" w:cs="方正仿宋简体"/>
          <w:b/>
          <w:bCs/>
          <w:color w:val="auto"/>
          <w:sz w:val="32"/>
          <w:szCs w:val="32"/>
          <w:highlight w:val="none"/>
        </w:rPr>
        <w:t>辆、机要通信用车</w:t>
      </w:r>
      <w:r>
        <w:rPr>
          <w:rFonts w:hint="eastAsia" w:ascii="方正仿宋简体" w:hAnsi="方正仿宋简体" w:eastAsia="方正仿宋简体" w:cs="方正仿宋简体"/>
          <w:b/>
          <w:bCs/>
          <w:color w:val="auto"/>
          <w:sz w:val="32"/>
          <w:szCs w:val="32"/>
          <w:highlight w:val="none"/>
          <w:lang w:val="en-US" w:eastAsia="zh-CN"/>
        </w:rPr>
        <w:t>2</w:t>
      </w:r>
      <w:r>
        <w:rPr>
          <w:rFonts w:hint="eastAsia" w:ascii="方正仿宋简体" w:hAnsi="方正仿宋简体" w:eastAsia="方正仿宋简体" w:cs="方正仿宋简体"/>
          <w:b/>
          <w:bCs/>
          <w:color w:val="auto"/>
          <w:sz w:val="32"/>
          <w:szCs w:val="32"/>
          <w:highlight w:val="none"/>
        </w:rPr>
        <w:t>辆、应急保障用车</w:t>
      </w:r>
      <w:r>
        <w:rPr>
          <w:rFonts w:hint="eastAsia" w:ascii="方正仿宋简体" w:hAnsi="方正仿宋简体" w:eastAsia="方正仿宋简体" w:cs="方正仿宋简体"/>
          <w:b/>
          <w:bCs/>
          <w:color w:val="auto"/>
          <w:sz w:val="32"/>
          <w:szCs w:val="32"/>
          <w:highlight w:val="none"/>
          <w:lang w:val="en-US" w:eastAsia="zh-CN"/>
        </w:rPr>
        <w:t>8</w:t>
      </w:r>
      <w:r>
        <w:rPr>
          <w:rFonts w:hint="eastAsia" w:ascii="方正仿宋简体" w:hAnsi="方正仿宋简体" w:eastAsia="方正仿宋简体" w:cs="方正仿宋简体"/>
          <w:b/>
          <w:bCs/>
          <w:color w:val="auto"/>
          <w:sz w:val="32"/>
          <w:szCs w:val="32"/>
          <w:highlight w:val="none"/>
        </w:rPr>
        <w:t>辆、其他用车</w:t>
      </w:r>
      <w:r>
        <w:rPr>
          <w:rFonts w:hint="eastAsia" w:ascii="方正仿宋简体" w:hAnsi="方正仿宋简体" w:eastAsia="方正仿宋简体" w:cs="方正仿宋简体"/>
          <w:b/>
          <w:bCs/>
          <w:color w:val="auto"/>
          <w:sz w:val="32"/>
          <w:szCs w:val="32"/>
          <w:highlight w:val="none"/>
          <w:lang w:val="en-US" w:eastAsia="zh-CN"/>
        </w:rPr>
        <w:t>5</w:t>
      </w:r>
      <w:r>
        <w:rPr>
          <w:rFonts w:hint="eastAsia" w:ascii="方正仿宋简体" w:hAnsi="方正仿宋简体" w:eastAsia="方正仿宋简体" w:cs="方正仿宋简体"/>
          <w:b/>
          <w:bCs/>
          <w:color w:val="auto"/>
          <w:sz w:val="32"/>
          <w:szCs w:val="32"/>
          <w:highlight w:val="none"/>
        </w:rPr>
        <w:t>辆</w:t>
      </w:r>
      <w:r>
        <w:rPr>
          <w:rFonts w:hint="eastAsia" w:ascii="方正仿宋简体" w:hAnsi="方正仿宋简体" w:eastAsia="方正仿宋简体" w:cs="方正仿宋简体"/>
          <w:b/>
          <w:bCs/>
          <w:color w:val="auto"/>
          <w:sz w:val="32"/>
          <w:szCs w:val="32"/>
          <w:highlight w:val="none"/>
          <w:lang w:eastAsia="zh-CN"/>
        </w:rPr>
        <w:t>，</w:t>
      </w:r>
      <w:r>
        <w:rPr>
          <w:rFonts w:hint="eastAsia" w:ascii="方正仿宋简体" w:hAnsi="方正仿宋简体" w:eastAsia="方正仿宋简体" w:cs="方正仿宋简体"/>
          <w:b/>
          <w:bCs/>
          <w:color w:val="auto"/>
          <w:sz w:val="32"/>
          <w:szCs w:val="32"/>
        </w:rPr>
        <w:t>其他用车主要是用于退休副省级领导看病就医、履行公务保障用车。单价50万元以上通用设备4台（套），单价100万元以上专用设备0台（套）。</w:t>
      </w:r>
    </w:p>
    <w:p>
      <w:pPr>
        <w:pStyle w:val="2"/>
        <w:pageBreakBefore w:val="0"/>
        <w:widowControl w:val="0"/>
        <w:kinsoku/>
        <w:wordWrap/>
        <w:overflowPunct/>
        <w:topLinePunct w:val="0"/>
        <w:autoSpaceDE/>
        <w:autoSpaceDN/>
        <w:bidi w:val="0"/>
        <w:adjustRightInd w:val="0"/>
        <w:snapToGrid w:val="0"/>
        <w:spacing w:beforeLines="0" w:line="560" w:lineRule="exact"/>
        <w:ind w:firstLine="643" w:firstLineChars="200"/>
        <w:jc w:val="both"/>
        <w:textAlignment w:val="auto"/>
        <w:outlineLvl w:val="2"/>
        <w:rPr>
          <w:rFonts w:hint="eastAsia" w:ascii="方正楷体简体" w:hAnsi="方正楷体简体" w:eastAsia="方正楷体简体" w:cs="方正楷体简体"/>
          <w:b/>
          <w:bCs/>
          <w:color w:val="auto"/>
          <w:sz w:val="32"/>
          <w:szCs w:val="32"/>
          <w:highlight w:val="none"/>
          <w:lang w:eastAsia="zh-CN"/>
        </w:rPr>
      </w:pPr>
      <w:r>
        <w:rPr>
          <w:rFonts w:hint="eastAsia" w:ascii="方正楷体简体" w:hAnsi="方正楷体简体" w:eastAsia="方正楷体简体" w:cs="方正楷体简体"/>
          <w:b/>
          <w:bCs/>
          <w:color w:val="auto"/>
          <w:sz w:val="32"/>
          <w:szCs w:val="32"/>
          <w:highlight w:val="none"/>
          <w:lang w:eastAsia="zh-CN"/>
        </w:rPr>
        <w:t>（四）预算绩效管理情况</w:t>
      </w:r>
    </w:p>
    <w:p>
      <w:pPr>
        <w:spacing w:line="580" w:lineRule="exact"/>
        <w:ind w:firstLine="643" w:firstLineChars="20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根据预算绩效管理要求，本部门在2020年度预算编制阶段，无需要开展预算事前绩效评估的项目，对5个项目编制了绩效目标，预算执行过程中，选取5个项目开展绩效监控，年终执行完毕后，对5个项目开展了绩效目标完成情况自评。</w:t>
      </w:r>
    </w:p>
    <w:p>
      <w:pPr>
        <w:spacing w:line="580" w:lineRule="exact"/>
        <w:ind w:firstLine="643" w:firstLineChars="20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本部门按要求对2020年部门整体支出开展绩效自评，从评价情况来看</w:t>
      </w:r>
      <w:r>
        <w:rPr>
          <w:rFonts w:hint="eastAsia" w:ascii="方正仿宋简体" w:hAnsi="方正仿宋简体" w:eastAsia="方正仿宋简体" w:cs="方正仿宋简体"/>
          <w:b/>
          <w:bCs/>
          <w:color w:val="auto"/>
          <w:sz w:val="32"/>
          <w:szCs w:val="32"/>
          <w:highlight w:val="none"/>
          <w:lang w:eastAsia="zh-CN"/>
        </w:rPr>
        <w:t>，</w:t>
      </w:r>
      <w:r>
        <w:rPr>
          <w:rFonts w:hint="eastAsia" w:ascii="方正仿宋简体" w:hAnsi="方正仿宋简体" w:eastAsia="方正仿宋简体" w:cs="方正仿宋简体"/>
          <w:b/>
          <w:bCs/>
          <w:color w:val="auto"/>
          <w:sz w:val="32"/>
          <w:szCs w:val="32"/>
          <w:highlight w:val="none"/>
        </w:rPr>
        <w:t>省人大常委会办公厅资金使用达到了预期效果，较好地服务和保障了省人大常委会圆满完成年度立法工作、监督工作、调研工作、代表工作等重要任务，实现了2020年财政预算支出的绩效目标，年度部门整体支出绩效评价得分为83.36分。本部门无专项预算项目，因此未组织开展</w:t>
      </w:r>
      <w:r>
        <w:rPr>
          <w:rFonts w:hint="eastAsia" w:ascii="方正仿宋简体" w:hAnsi="方正仿宋简体" w:eastAsia="方正仿宋简体" w:cs="方正仿宋简体"/>
          <w:b/>
          <w:bCs/>
          <w:color w:val="auto"/>
          <w:sz w:val="32"/>
          <w:szCs w:val="32"/>
          <w:highlight w:val="none"/>
          <w:lang w:eastAsia="zh-CN"/>
        </w:rPr>
        <w:t>专项预算</w:t>
      </w:r>
      <w:r>
        <w:rPr>
          <w:rFonts w:hint="eastAsia" w:ascii="方正仿宋简体" w:hAnsi="方正仿宋简体" w:eastAsia="方正仿宋简体" w:cs="方正仿宋简体"/>
          <w:b/>
          <w:bCs/>
          <w:color w:val="auto"/>
          <w:sz w:val="32"/>
          <w:szCs w:val="32"/>
          <w:highlight w:val="none"/>
        </w:rPr>
        <w:t>项目支出绩效评价。</w:t>
      </w:r>
    </w:p>
    <w:p>
      <w:pPr>
        <w:spacing w:line="580" w:lineRule="exact"/>
        <w:ind w:firstLine="643" w:firstLineChars="20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1.</w:t>
      </w:r>
      <w:r>
        <w:rPr>
          <w:rFonts w:hint="eastAsia" w:ascii="方正仿宋简体" w:hAnsi="方正仿宋简体" w:eastAsia="方正仿宋简体" w:cs="方正仿宋简体"/>
          <w:b/>
          <w:bCs/>
          <w:color w:val="auto"/>
          <w:sz w:val="32"/>
          <w:szCs w:val="32"/>
          <w:highlight w:val="none"/>
          <w:lang w:eastAsia="zh-CN"/>
        </w:rPr>
        <w:t>部门预算</w:t>
      </w:r>
      <w:r>
        <w:rPr>
          <w:rFonts w:hint="eastAsia" w:ascii="方正仿宋简体" w:hAnsi="方正仿宋简体" w:eastAsia="方正仿宋简体" w:cs="方正仿宋简体"/>
          <w:b/>
          <w:bCs/>
          <w:color w:val="auto"/>
          <w:sz w:val="32"/>
          <w:szCs w:val="32"/>
          <w:highlight w:val="none"/>
        </w:rPr>
        <w:t>项目绩效目标完成情况。</w:t>
      </w:r>
    </w:p>
    <w:p>
      <w:pPr>
        <w:spacing w:line="580" w:lineRule="exact"/>
        <w:ind w:firstLine="643" w:firstLineChars="20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本部门在2020年度部门决算中反映了“信息化建设及运行维护经费”“监督检查专项经费”“立法经费”“代表履职活动保障经费”和“代表履职能力提升经费”的绩效目标实际完成情况。</w:t>
      </w:r>
    </w:p>
    <w:p>
      <w:pPr>
        <w:spacing w:line="580" w:lineRule="exact"/>
        <w:ind w:firstLine="643" w:firstLineChars="20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（1）信息化建设及运行维护经费项目绩效目标完成情况综述。全年预算数320.7万元，执行数320.7万元，完成</w:t>
      </w:r>
      <w:r>
        <w:rPr>
          <w:rFonts w:hint="eastAsia" w:ascii="方正仿宋简体" w:hAnsi="方正仿宋简体" w:eastAsia="方正仿宋简体" w:cs="方正仿宋简体"/>
          <w:b/>
          <w:bCs/>
          <w:color w:val="auto"/>
          <w:sz w:val="32"/>
          <w:szCs w:val="32"/>
          <w:highlight w:val="none"/>
          <w:lang w:eastAsia="zh-CN"/>
        </w:rPr>
        <w:t>年初</w:t>
      </w:r>
      <w:r>
        <w:rPr>
          <w:rFonts w:hint="eastAsia" w:ascii="方正仿宋简体" w:hAnsi="方正仿宋简体" w:eastAsia="方正仿宋简体" w:cs="方正仿宋简体"/>
          <w:b/>
          <w:bCs/>
          <w:color w:val="auto"/>
          <w:sz w:val="32"/>
          <w:szCs w:val="32"/>
          <w:highlight w:val="none"/>
        </w:rPr>
        <w:t>预算的100%。通过项目实施，保障了省人大常委会机关信息网络及设备安全、稳定、高效运行，确保了机关简报系统、文件数字化系统、移动办公系统等业务应用系统和基础环境、硬件设施、会议系统正常可靠运行，全面提升了信息化建设和服务的总体效能。发现的主要问题：各类信息系统之间缺乏有效整合。下一步改进措施：加强信息系统的整合和归口管理。</w:t>
      </w:r>
    </w:p>
    <w:p>
      <w:pPr>
        <w:spacing w:line="580" w:lineRule="exact"/>
        <w:ind w:firstLine="643" w:firstLineChars="20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（2）监督检查专项经费项目绩效目标完成情况综述。全年预算数247.55万元，执行数244.34万元，完成</w:t>
      </w:r>
      <w:r>
        <w:rPr>
          <w:rFonts w:hint="eastAsia" w:ascii="方正仿宋简体" w:hAnsi="方正仿宋简体" w:eastAsia="方正仿宋简体" w:cs="方正仿宋简体"/>
          <w:b/>
          <w:bCs/>
          <w:color w:val="auto"/>
          <w:sz w:val="32"/>
          <w:szCs w:val="32"/>
          <w:highlight w:val="none"/>
          <w:lang w:eastAsia="zh-CN"/>
        </w:rPr>
        <w:t>年初</w:t>
      </w:r>
      <w:r>
        <w:rPr>
          <w:rFonts w:hint="eastAsia" w:ascii="方正仿宋简体" w:hAnsi="方正仿宋简体" w:eastAsia="方正仿宋简体" w:cs="方正仿宋简体"/>
          <w:b/>
          <w:bCs/>
          <w:color w:val="auto"/>
          <w:sz w:val="32"/>
          <w:szCs w:val="32"/>
          <w:highlight w:val="none"/>
        </w:rPr>
        <w:t>预算的98.7%。通过项目实施，服务保障了省人大常委会聚焦行政权、监察权、审判权、检察权依法正确行使，聚焦人民群众关心关注的大事难事，履行好监督职能。发现的主要问题：年度监督检查工作计划于每年人代会后确定，但是监督检查工作绩效目标于省人代会会议召开前</w:t>
      </w:r>
      <w:r>
        <w:rPr>
          <w:rFonts w:hint="eastAsia" w:ascii="方正仿宋简体" w:hAnsi="方正仿宋简体" w:eastAsia="方正仿宋简体" w:cs="方正仿宋简体"/>
          <w:b/>
          <w:bCs/>
          <w:color w:val="auto"/>
          <w:sz w:val="32"/>
          <w:szCs w:val="32"/>
          <w:highlight w:val="none"/>
          <w:lang w:eastAsia="zh-CN"/>
        </w:rPr>
        <w:t>报</w:t>
      </w:r>
      <w:r>
        <w:rPr>
          <w:rFonts w:hint="eastAsia" w:ascii="方正仿宋简体" w:hAnsi="方正仿宋简体" w:eastAsia="方正仿宋简体" w:cs="方正仿宋简体"/>
          <w:b/>
          <w:bCs/>
          <w:color w:val="auto"/>
          <w:sz w:val="32"/>
          <w:szCs w:val="32"/>
          <w:highlight w:val="none"/>
        </w:rPr>
        <w:t>省人代会批准，导致年初预算编报时绩效目标的可行性不够。下一步改进措施：做好监督检查专项经费绩效目标调整工作。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（3）立法经费项目绩效目标完成情况综述。项目全年预算数218.98万元，执行数为209.77万元，完成</w:t>
      </w:r>
      <w:r>
        <w:rPr>
          <w:rFonts w:hint="eastAsia" w:ascii="方正仿宋简体" w:hAnsi="方正仿宋简体" w:eastAsia="方正仿宋简体" w:cs="方正仿宋简体"/>
          <w:b/>
          <w:bCs/>
          <w:color w:val="auto"/>
          <w:sz w:val="32"/>
          <w:szCs w:val="32"/>
          <w:highlight w:val="none"/>
          <w:lang w:eastAsia="zh-CN"/>
        </w:rPr>
        <w:t>年初</w:t>
      </w:r>
      <w:r>
        <w:rPr>
          <w:rFonts w:hint="eastAsia" w:ascii="方正仿宋简体" w:hAnsi="方正仿宋简体" w:eastAsia="方正仿宋简体" w:cs="方正仿宋简体"/>
          <w:b/>
          <w:bCs/>
          <w:color w:val="auto"/>
          <w:sz w:val="32"/>
          <w:szCs w:val="32"/>
          <w:highlight w:val="none"/>
        </w:rPr>
        <w:t>预算的95.79%。通过项目实施，加强了重点、民生领域立法，做好了法规、规章、规范性文件的修改废止工作，健全了立法工作机制，提高了立法质量，推进了科学立法、民主立法、依法立法，为治蜀兴川提供了有力法治保障。发现的主要问题：立法工作计划于每年省人代会后确定，但是预算绩效目标于省人代会会议召开前</w:t>
      </w:r>
      <w:r>
        <w:rPr>
          <w:rFonts w:hint="eastAsia" w:ascii="方正仿宋简体" w:hAnsi="方正仿宋简体" w:eastAsia="方正仿宋简体" w:cs="方正仿宋简体"/>
          <w:b/>
          <w:bCs/>
          <w:color w:val="auto"/>
          <w:sz w:val="32"/>
          <w:szCs w:val="32"/>
          <w:highlight w:val="none"/>
          <w:lang w:eastAsia="zh-CN"/>
        </w:rPr>
        <w:t>报</w:t>
      </w:r>
      <w:r>
        <w:rPr>
          <w:rFonts w:hint="eastAsia" w:ascii="方正仿宋简体" w:hAnsi="方正仿宋简体" w:eastAsia="方正仿宋简体" w:cs="方正仿宋简体"/>
          <w:b/>
          <w:bCs/>
          <w:color w:val="auto"/>
          <w:sz w:val="32"/>
          <w:szCs w:val="32"/>
          <w:highlight w:val="none"/>
        </w:rPr>
        <w:t>省人代会批准，导致年初预算编报时绩效目标的可行性不够。下一步改进措施：做好立法经费绩效目标调整工作。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（4）代表履职活动保障经费项目绩效目标完成情况综述。项目全年预算数301.34万元，执行数为300.86万元，完成</w:t>
      </w:r>
      <w:r>
        <w:rPr>
          <w:rFonts w:hint="eastAsia" w:ascii="方正仿宋简体" w:hAnsi="方正仿宋简体" w:eastAsia="方正仿宋简体" w:cs="方正仿宋简体"/>
          <w:b/>
          <w:bCs/>
          <w:color w:val="auto"/>
          <w:sz w:val="32"/>
          <w:szCs w:val="32"/>
          <w:highlight w:val="none"/>
          <w:lang w:eastAsia="zh-CN"/>
        </w:rPr>
        <w:t>年初</w:t>
      </w:r>
      <w:r>
        <w:rPr>
          <w:rFonts w:hint="eastAsia" w:ascii="方正仿宋简体" w:hAnsi="方正仿宋简体" w:eastAsia="方正仿宋简体" w:cs="方正仿宋简体"/>
          <w:b/>
          <w:bCs/>
          <w:color w:val="auto"/>
          <w:sz w:val="32"/>
          <w:szCs w:val="32"/>
          <w:highlight w:val="none"/>
        </w:rPr>
        <w:t>预算的99.84%。通过项目实施，支持和保障了代表依法履职，促进了代表更好为人民代言、为人民谋利、为人民服务。存在的问题：代表工作计划于每年省人代会后确定，但是预算绩效目标于省人代会会议召开前</w:t>
      </w:r>
      <w:r>
        <w:rPr>
          <w:rFonts w:hint="eastAsia" w:ascii="方正仿宋简体" w:hAnsi="方正仿宋简体" w:eastAsia="方正仿宋简体" w:cs="方正仿宋简体"/>
          <w:b/>
          <w:bCs/>
          <w:color w:val="auto"/>
          <w:sz w:val="32"/>
          <w:szCs w:val="32"/>
          <w:highlight w:val="none"/>
          <w:lang w:eastAsia="zh-CN"/>
        </w:rPr>
        <w:t>报</w:t>
      </w:r>
      <w:r>
        <w:rPr>
          <w:rFonts w:hint="eastAsia" w:ascii="方正仿宋简体" w:hAnsi="方正仿宋简体" w:eastAsia="方正仿宋简体" w:cs="方正仿宋简体"/>
          <w:b/>
          <w:bCs/>
          <w:color w:val="auto"/>
          <w:sz w:val="32"/>
          <w:szCs w:val="32"/>
          <w:highlight w:val="none"/>
        </w:rPr>
        <w:t>省人代会批准，导致年初预算编报时绩效目标的可行性不够。下一步改进措施：做好代表活动经费绩效目标调整工作。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（5）代表履职能力提升经费项目绩效目标完成情况综述。项目全年预算数103万元，执行数为97.6万元，完成</w:t>
      </w:r>
      <w:r>
        <w:rPr>
          <w:rFonts w:hint="eastAsia" w:ascii="方正仿宋简体" w:hAnsi="方正仿宋简体" w:eastAsia="方正仿宋简体" w:cs="方正仿宋简体"/>
          <w:b/>
          <w:bCs/>
          <w:color w:val="auto"/>
          <w:sz w:val="32"/>
          <w:szCs w:val="32"/>
          <w:highlight w:val="none"/>
          <w:lang w:val="en-US" w:eastAsia="zh-CN"/>
        </w:rPr>
        <w:t>年初</w:t>
      </w:r>
      <w:r>
        <w:rPr>
          <w:rFonts w:hint="eastAsia" w:ascii="方正仿宋简体" w:hAnsi="方正仿宋简体" w:eastAsia="方正仿宋简体" w:cs="方正仿宋简体"/>
          <w:b/>
          <w:bCs/>
          <w:color w:val="auto"/>
          <w:sz w:val="32"/>
          <w:szCs w:val="32"/>
          <w:highlight w:val="none"/>
        </w:rPr>
        <w:t>预算的94.76%。通过项目实施，健全了省人大代表履职保障机制，全面提升了代表履职能力，夯实了代表履职基础，充分发挥了代表作用。存在的问题：受疫情影响，代表培训的范围和人数受限。下一步改进措施：深入开展好代表培训工作，</w:t>
      </w:r>
      <w:r>
        <w:rPr>
          <w:rFonts w:hint="eastAsia" w:ascii="方正仿宋简体" w:hAnsi="方正仿宋简体" w:eastAsia="方正仿宋简体" w:cs="方正仿宋简体"/>
          <w:b/>
          <w:bCs/>
          <w:color w:val="auto"/>
          <w:sz w:val="32"/>
          <w:szCs w:val="32"/>
          <w:highlight w:val="none"/>
          <w:lang w:eastAsia="zh-CN"/>
        </w:rPr>
        <w:t>增加</w:t>
      </w:r>
      <w:r>
        <w:rPr>
          <w:rFonts w:hint="eastAsia" w:ascii="方正仿宋简体" w:hAnsi="方正仿宋简体" w:eastAsia="方正仿宋简体" w:cs="方正仿宋简体"/>
          <w:b/>
          <w:bCs/>
          <w:color w:val="auto"/>
          <w:sz w:val="32"/>
          <w:szCs w:val="32"/>
          <w:highlight w:val="none"/>
        </w:rPr>
        <w:t>培训</w:t>
      </w:r>
      <w:r>
        <w:rPr>
          <w:rFonts w:hint="eastAsia" w:ascii="方正仿宋简体" w:hAnsi="方正仿宋简体" w:eastAsia="方正仿宋简体" w:cs="方正仿宋简体"/>
          <w:b/>
          <w:bCs/>
          <w:color w:val="auto"/>
          <w:sz w:val="32"/>
          <w:szCs w:val="32"/>
          <w:highlight w:val="none"/>
          <w:lang w:eastAsia="zh-CN"/>
        </w:rPr>
        <w:t>人数</w:t>
      </w:r>
      <w:r>
        <w:rPr>
          <w:rFonts w:hint="eastAsia" w:ascii="方正仿宋简体" w:hAnsi="方正仿宋简体" w:eastAsia="方正仿宋简体" w:cs="方正仿宋简体"/>
          <w:b/>
          <w:bCs/>
          <w:color w:val="auto"/>
          <w:sz w:val="32"/>
          <w:szCs w:val="32"/>
          <w:highlight w:val="none"/>
        </w:rPr>
        <w:t>，丰富培训主题。</w:t>
      </w:r>
    </w:p>
    <w:p>
      <w:pPr>
        <w:spacing w:line="580" w:lineRule="exact"/>
        <w:ind w:firstLine="643" w:firstLineChars="200"/>
        <w:rPr>
          <w:rFonts w:ascii="仿宋_GB2312" w:hAnsi="仿宋_GB2312" w:eastAsia="仿宋_GB2312" w:cs="仿宋_GB2312"/>
          <w:b/>
          <w:bCs/>
          <w:color w:val="auto"/>
          <w:sz w:val="32"/>
          <w:szCs w:val="32"/>
          <w:highlight w:val="none"/>
        </w:rPr>
      </w:pPr>
    </w:p>
    <w:tbl>
      <w:tblPr>
        <w:tblStyle w:val="12"/>
        <w:tblW w:w="9900" w:type="dxa"/>
        <w:jc w:val="center"/>
        <w:tblLayout w:type="autofit"/>
        <w:tblCellMar>
          <w:top w:w="0" w:type="dxa"/>
          <w:left w:w="108" w:type="dxa"/>
          <w:bottom w:w="0" w:type="dxa"/>
          <w:right w:w="108" w:type="dxa"/>
        </w:tblCellMar>
      </w:tblPr>
      <w:tblGrid>
        <w:gridCol w:w="105"/>
        <w:gridCol w:w="1026"/>
        <w:gridCol w:w="24"/>
        <w:gridCol w:w="1107"/>
        <w:gridCol w:w="3"/>
        <w:gridCol w:w="1128"/>
        <w:gridCol w:w="177"/>
        <w:gridCol w:w="915"/>
        <w:gridCol w:w="39"/>
        <w:gridCol w:w="1132"/>
        <w:gridCol w:w="179"/>
        <w:gridCol w:w="1943"/>
        <w:gridCol w:w="37"/>
        <w:gridCol w:w="1980"/>
        <w:gridCol w:w="105"/>
      </w:tblGrid>
      <w:tr>
        <w:tblPrEx>
          <w:tblCellMar>
            <w:top w:w="0" w:type="dxa"/>
            <w:left w:w="108" w:type="dxa"/>
            <w:bottom w:w="0" w:type="dxa"/>
            <w:right w:w="108" w:type="dxa"/>
          </w:tblCellMar>
        </w:tblPrEx>
        <w:trPr>
          <w:gridBefore w:val="1"/>
          <w:gridAfter w:val="1"/>
          <w:wBefore w:w="105" w:type="dxa"/>
          <w:wAfter w:w="105" w:type="dxa"/>
          <w:trHeight w:val="440" w:hRule="atLeast"/>
          <w:jc w:val="center"/>
        </w:trPr>
        <w:tc>
          <w:tcPr>
            <w:tcW w:w="9690" w:type="dxa"/>
            <w:gridSpan w:val="13"/>
            <w:tcBorders>
              <w:top w:val="nil"/>
              <w:left w:val="nil"/>
              <w:bottom w:val="nil"/>
              <w:right w:val="nil"/>
            </w:tcBorders>
            <w:shd w:val="clear" w:color="auto" w:fill="auto"/>
            <w:vAlign w:val="center"/>
          </w:tcPr>
          <w:p>
            <w:pPr>
              <w:widowControl/>
              <w:jc w:val="center"/>
              <w:textAlignment w:val="center"/>
              <w:rPr>
                <w:b/>
                <w:bCs/>
                <w:color w:val="auto"/>
                <w:sz w:val="32"/>
                <w:szCs w:val="32"/>
              </w:rPr>
            </w:pPr>
            <w:r>
              <w:rPr>
                <w:b/>
                <w:bCs/>
                <w:color w:val="auto"/>
                <w:kern w:val="0"/>
                <w:sz w:val="32"/>
                <w:szCs w:val="32"/>
                <w:lang w:bidi="ar"/>
              </w:rPr>
              <w:t>项目支出绩效自评表</w:t>
            </w:r>
          </w:p>
        </w:tc>
      </w:tr>
      <w:tr>
        <w:tblPrEx>
          <w:tblCellMar>
            <w:top w:w="0" w:type="dxa"/>
            <w:left w:w="108" w:type="dxa"/>
            <w:bottom w:w="0" w:type="dxa"/>
            <w:right w:w="108" w:type="dxa"/>
          </w:tblCellMar>
        </w:tblPrEx>
        <w:trPr>
          <w:gridBefore w:val="1"/>
          <w:gridAfter w:val="1"/>
          <w:wBefore w:w="105" w:type="dxa"/>
          <w:wAfter w:w="105" w:type="dxa"/>
          <w:trHeight w:val="360" w:hRule="atLeast"/>
          <w:jc w:val="center"/>
        </w:trPr>
        <w:tc>
          <w:tcPr>
            <w:tcW w:w="9690" w:type="dxa"/>
            <w:gridSpan w:val="13"/>
            <w:tcBorders>
              <w:top w:val="nil"/>
              <w:left w:val="nil"/>
              <w:bottom w:val="nil"/>
              <w:right w:val="nil"/>
            </w:tcBorders>
            <w:shd w:val="clear" w:color="auto" w:fill="auto"/>
            <w:vAlign w:val="center"/>
          </w:tcPr>
          <w:p>
            <w:pPr>
              <w:widowControl/>
              <w:jc w:val="center"/>
              <w:textAlignment w:val="center"/>
              <w:rPr>
                <w:b/>
                <w:bCs/>
                <w:color w:val="auto"/>
                <w:sz w:val="24"/>
              </w:rPr>
            </w:pPr>
            <w:r>
              <w:rPr>
                <w:b/>
                <w:bCs/>
                <w:color w:val="auto"/>
                <w:kern w:val="0"/>
                <w:sz w:val="24"/>
                <w:lang w:bidi="ar"/>
              </w:rPr>
              <w:t>（2020年度）</w:t>
            </w:r>
          </w:p>
        </w:tc>
      </w:tr>
      <w:tr>
        <w:tblPrEx>
          <w:tblCellMar>
            <w:top w:w="0" w:type="dxa"/>
            <w:left w:w="108" w:type="dxa"/>
            <w:bottom w:w="0" w:type="dxa"/>
            <w:right w:w="108" w:type="dxa"/>
          </w:tblCellMar>
        </w:tblPrEx>
        <w:trPr>
          <w:gridBefore w:val="1"/>
          <w:gridAfter w:val="1"/>
          <w:wBefore w:w="105" w:type="dxa"/>
          <w:wAfter w:w="105" w:type="dxa"/>
          <w:trHeight w:val="480" w:hRule="atLeast"/>
          <w:jc w:val="center"/>
        </w:trPr>
        <w:tc>
          <w:tcPr>
            <w:tcW w:w="21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项目名称</w:t>
            </w:r>
          </w:p>
        </w:tc>
        <w:tc>
          <w:tcPr>
            <w:tcW w:w="753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信息化建设及运行维护经费</w:t>
            </w:r>
          </w:p>
        </w:tc>
      </w:tr>
      <w:tr>
        <w:tblPrEx>
          <w:tblCellMar>
            <w:top w:w="0" w:type="dxa"/>
            <w:left w:w="108" w:type="dxa"/>
            <w:bottom w:w="0" w:type="dxa"/>
            <w:right w:w="108" w:type="dxa"/>
          </w:tblCellMar>
        </w:tblPrEx>
        <w:trPr>
          <w:gridBefore w:val="1"/>
          <w:gridAfter w:val="1"/>
          <w:wBefore w:w="105" w:type="dxa"/>
          <w:wAfter w:w="105" w:type="dxa"/>
          <w:trHeight w:val="660" w:hRule="atLeast"/>
          <w:jc w:val="center"/>
        </w:trPr>
        <w:tc>
          <w:tcPr>
            <w:tcW w:w="21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主管部门及代码</w:t>
            </w:r>
          </w:p>
        </w:tc>
        <w:tc>
          <w:tcPr>
            <w:tcW w:w="35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kern w:val="0"/>
                <w:sz w:val="20"/>
                <w:szCs w:val="20"/>
                <w:lang w:bidi="ar"/>
              </w:rPr>
            </w:pPr>
            <w:r>
              <w:rPr>
                <w:b/>
                <w:bCs/>
                <w:color w:val="auto"/>
                <w:kern w:val="0"/>
                <w:sz w:val="20"/>
                <w:szCs w:val="20"/>
                <w:lang w:bidi="ar"/>
              </w:rPr>
              <w:t>四川省人民代表大会</w:t>
            </w:r>
          </w:p>
          <w:p>
            <w:pPr>
              <w:widowControl/>
              <w:jc w:val="center"/>
              <w:textAlignment w:val="center"/>
              <w:rPr>
                <w:b/>
                <w:bCs/>
                <w:color w:val="auto"/>
                <w:sz w:val="20"/>
                <w:szCs w:val="20"/>
              </w:rPr>
            </w:pPr>
            <w:r>
              <w:rPr>
                <w:b/>
                <w:bCs/>
                <w:color w:val="auto"/>
                <w:kern w:val="0"/>
                <w:sz w:val="20"/>
                <w:szCs w:val="20"/>
                <w:lang w:bidi="ar"/>
              </w:rPr>
              <w:t>常务委员会办公厅</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实施单位</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kern w:val="0"/>
                <w:sz w:val="20"/>
                <w:szCs w:val="20"/>
                <w:lang w:bidi="ar"/>
              </w:rPr>
            </w:pPr>
            <w:r>
              <w:rPr>
                <w:b/>
                <w:bCs/>
                <w:color w:val="auto"/>
                <w:kern w:val="0"/>
                <w:sz w:val="20"/>
                <w:szCs w:val="20"/>
                <w:lang w:bidi="ar"/>
              </w:rPr>
              <w:t>四川省人民代表大会常务委员会</w:t>
            </w:r>
          </w:p>
          <w:p>
            <w:pPr>
              <w:widowControl/>
              <w:jc w:val="center"/>
              <w:textAlignment w:val="center"/>
              <w:rPr>
                <w:b/>
                <w:bCs/>
                <w:color w:val="auto"/>
                <w:sz w:val="20"/>
                <w:szCs w:val="20"/>
              </w:rPr>
            </w:pPr>
            <w:r>
              <w:rPr>
                <w:b/>
                <w:bCs/>
                <w:color w:val="auto"/>
                <w:kern w:val="0"/>
                <w:sz w:val="20"/>
                <w:szCs w:val="20"/>
                <w:lang w:bidi="ar"/>
              </w:rPr>
              <w:t>办公厅</w:t>
            </w:r>
          </w:p>
        </w:tc>
      </w:tr>
      <w:tr>
        <w:tblPrEx>
          <w:tblCellMar>
            <w:top w:w="0" w:type="dxa"/>
            <w:left w:w="108" w:type="dxa"/>
            <w:bottom w:w="0" w:type="dxa"/>
            <w:right w:w="108" w:type="dxa"/>
          </w:tblCellMar>
        </w:tblPrEx>
        <w:trPr>
          <w:gridBefore w:val="1"/>
          <w:gridAfter w:val="1"/>
          <w:wBefore w:w="105" w:type="dxa"/>
          <w:wAfter w:w="105" w:type="dxa"/>
          <w:trHeight w:val="400" w:hRule="atLeast"/>
          <w:jc w:val="center"/>
        </w:trPr>
        <w:tc>
          <w:tcPr>
            <w:tcW w:w="216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项目预算</w:t>
            </w:r>
            <w:r>
              <w:rPr>
                <w:b/>
                <w:bCs/>
                <w:color w:val="auto"/>
                <w:kern w:val="0"/>
                <w:sz w:val="20"/>
                <w:szCs w:val="20"/>
                <w:lang w:bidi="ar"/>
              </w:rPr>
              <w:br w:type="textWrapping"/>
            </w:r>
            <w:r>
              <w:rPr>
                <w:b/>
                <w:bCs/>
                <w:color w:val="auto"/>
                <w:kern w:val="0"/>
                <w:sz w:val="20"/>
                <w:szCs w:val="20"/>
                <w:lang w:bidi="ar"/>
              </w:rPr>
              <w:t>执行情况</w:t>
            </w:r>
            <w:r>
              <w:rPr>
                <w:b/>
                <w:bCs/>
                <w:color w:val="auto"/>
                <w:kern w:val="0"/>
                <w:sz w:val="20"/>
                <w:szCs w:val="20"/>
                <w:lang w:bidi="ar"/>
              </w:rPr>
              <w:br w:type="textWrapping"/>
            </w:r>
            <w:r>
              <w:rPr>
                <w:b/>
                <w:bCs/>
                <w:color w:val="auto"/>
                <w:kern w:val="0"/>
                <w:sz w:val="20"/>
                <w:szCs w:val="20"/>
                <w:lang w:bidi="ar"/>
              </w:rPr>
              <w:t>（万元）</w:t>
            </w:r>
          </w:p>
        </w:tc>
        <w:tc>
          <w:tcPr>
            <w:tcW w:w="22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0"/>
                <w:szCs w:val="20"/>
              </w:rPr>
            </w:pPr>
            <w:r>
              <w:rPr>
                <w:b/>
                <w:bCs/>
                <w:color w:val="auto"/>
                <w:kern w:val="0"/>
                <w:sz w:val="20"/>
                <w:szCs w:val="20"/>
                <w:lang w:bidi="ar"/>
              </w:rPr>
              <w:t>预算数：</w:t>
            </w: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320.7</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0"/>
                <w:szCs w:val="20"/>
              </w:rPr>
            </w:pPr>
            <w:r>
              <w:rPr>
                <w:b/>
                <w:bCs/>
                <w:color w:val="auto"/>
                <w:kern w:val="0"/>
                <w:sz w:val="20"/>
                <w:szCs w:val="20"/>
                <w:lang w:bidi="ar"/>
              </w:rPr>
              <w:t>执行数：</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320.7</w:t>
            </w:r>
          </w:p>
        </w:tc>
      </w:tr>
      <w:tr>
        <w:tblPrEx>
          <w:tblCellMar>
            <w:top w:w="0" w:type="dxa"/>
            <w:left w:w="108" w:type="dxa"/>
            <w:bottom w:w="0" w:type="dxa"/>
            <w:right w:w="108" w:type="dxa"/>
          </w:tblCellMar>
        </w:tblPrEx>
        <w:trPr>
          <w:gridBefore w:val="1"/>
          <w:gridAfter w:val="1"/>
          <w:wBefore w:w="105" w:type="dxa"/>
          <w:wAfter w:w="105" w:type="dxa"/>
          <w:trHeight w:val="400" w:hRule="atLeast"/>
          <w:jc w:val="center"/>
        </w:trPr>
        <w:tc>
          <w:tcPr>
            <w:tcW w:w="216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22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0"/>
                <w:szCs w:val="20"/>
              </w:rPr>
            </w:pPr>
            <w:r>
              <w:rPr>
                <w:b/>
                <w:bCs/>
                <w:color w:val="auto"/>
                <w:kern w:val="0"/>
                <w:sz w:val="20"/>
                <w:szCs w:val="20"/>
                <w:lang w:bidi="ar"/>
              </w:rPr>
              <w:t>其中：财政拨款</w:t>
            </w: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320.7</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0"/>
                <w:szCs w:val="20"/>
              </w:rPr>
            </w:pPr>
            <w:r>
              <w:rPr>
                <w:b/>
                <w:bCs/>
                <w:color w:val="auto"/>
                <w:kern w:val="0"/>
                <w:sz w:val="20"/>
                <w:szCs w:val="20"/>
                <w:lang w:bidi="ar"/>
              </w:rPr>
              <w:t>其中：财政拨款</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320.7</w:t>
            </w:r>
          </w:p>
        </w:tc>
      </w:tr>
      <w:tr>
        <w:tblPrEx>
          <w:tblCellMar>
            <w:top w:w="0" w:type="dxa"/>
            <w:left w:w="108" w:type="dxa"/>
            <w:bottom w:w="0" w:type="dxa"/>
            <w:right w:w="108" w:type="dxa"/>
          </w:tblCellMar>
        </w:tblPrEx>
        <w:trPr>
          <w:gridBefore w:val="1"/>
          <w:gridAfter w:val="1"/>
          <w:wBefore w:w="105" w:type="dxa"/>
          <w:wAfter w:w="105" w:type="dxa"/>
          <w:trHeight w:val="400" w:hRule="atLeast"/>
          <w:jc w:val="center"/>
        </w:trPr>
        <w:tc>
          <w:tcPr>
            <w:tcW w:w="216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22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0"/>
                <w:szCs w:val="20"/>
              </w:rPr>
            </w:pPr>
            <w:r>
              <w:rPr>
                <w:b/>
                <w:bCs/>
                <w:color w:val="auto"/>
                <w:kern w:val="0"/>
                <w:sz w:val="20"/>
                <w:szCs w:val="20"/>
                <w:lang w:bidi="ar"/>
              </w:rPr>
              <w:t>其他资金</w:t>
            </w:r>
          </w:p>
        </w:tc>
        <w:tc>
          <w:tcPr>
            <w:tcW w:w="1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0</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0"/>
                <w:szCs w:val="20"/>
              </w:rPr>
            </w:pPr>
            <w:r>
              <w:rPr>
                <w:b/>
                <w:bCs/>
                <w:color w:val="auto"/>
                <w:kern w:val="0"/>
                <w:sz w:val="20"/>
                <w:szCs w:val="20"/>
                <w:lang w:bidi="ar"/>
              </w:rPr>
              <w:t>其他资金</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0</w:t>
            </w:r>
          </w:p>
        </w:tc>
      </w:tr>
      <w:tr>
        <w:tblPrEx>
          <w:tblCellMar>
            <w:top w:w="0" w:type="dxa"/>
            <w:left w:w="108" w:type="dxa"/>
            <w:bottom w:w="0" w:type="dxa"/>
            <w:right w:w="108" w:type="dxa"/>
          </w:tblCellMar>
        </w:tblPrEx>
        <w:trPr>
          <w:gridBefore w:val="1"/>
          <w:gridAfter w:val="1"/>
          <w:wBefore w:w="105" w:type="dxa"/>
          <w:wAfter w:w="105" w:type="dxa"/>
          <w:trHeight w:val="360" w:hRule="atLeast"/>
          <w:jc w:val="center"/>
        </w:trPr>
        <w:tc>
          <w:tcPr>
            <w:tcW w:w="10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年度总体目标完成情况</w:t>
            </w:r>
          </w:p>
        </w:tc>
        <w:tc>
          <w:tcPr>
            <w:tcW w:w="46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预期目标</w:t>
            </w:r>
          </w:p>
        </w:tc>
        <w:tc>
          <w:tcPr>
            <w:tcW w:w="39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目标实际完成情况</w:t>
            </w:r>
          </w:p>
        </w:tc>
      </w:tr>
      <w:tr>
        <w:tblPrEx>
          <w:tblCellMar>
            <w:top w:w="0" w:type="dxa"/>
            <w:left w:w="108" w:type="dxa"/>
            <w:bottom w:w="0" w:type="dxa"/>
            <w:right w:w="108" w:type="dxa"/>
          </w:tblCellMar>
        </w:tblPrEx>
        <w:trPr>
          <w:gridBefore w:val="1"/>
          <w:gridAfter w:val="1"/>
          <w:wBefore w:w="105" w:type="dxa"/>
          <w:wAfter w:w="105" w:type="dxa"/>
          <w:trHeight w:val="960" w:hRule="atLeast"/>
          <w:jc w:val="center"/>
        </w:trPr>
        <w:tc>
          <w:tcPr>
            <w:tcW w:w="1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46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0"/>
                <w:szCs w:val="20"/>
              </w:rPr>
            </w:pPr>
            <w:r>
              <w:rPr>
                <w:b/>
                <w:bCs/>
                <w:color w:val="auto"/>
                <w:kern w:val="0"/>
                <w:sz w:val="20"/>
                <w:szCs w:val="20"/>
                <w:lang w:bidi="ar"/>
              </w:rPr>
              <w:t>确保省人大机关信息网络及设备安全、稳定、高效运行、数据保密、推行无纸化办公，实现科学化管控。</w:t>
            </w:r>
          </w:p>
        </w:tc>
        <w:tc>
          <w:tcPr>
            <w:tcW w:w="39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0"/>
                <w:szCs w:val="20"/>
              </w:rPr>
            </w:pPr>
            <w:r>
              <w:rPr>
                <w:b/>
                <w:bCs/>
                <w:color w:val="auto"/>
                <w:kern w:val="0"/>
                <w:sz w:val="20"/>
                <w:szCs w:val="20"/>
                <w:lang w:bidi="ar"/>
              </w:rPr>
              <w:t>确保了省人大机关信息网络及设备安全、稳定、高效运行、数据保密、推行无纸化办公，实现</w:t>
            </w:r>
            <w:r>
              <w:rPr>
                <w:rFonts w:hint="eastAsia"/>
                <w:b/>
                <w:bCs/>
                <w:color w:val="auto"/>
                <w:kern w:val="0"/>
                <w:sz w:val="20"/>
                <w:szCs w:val="20"/>
                <w:lang w:eastAsia="zh-CN" w:bidi="ar"/>
              </w:rPr>
              <w:t>了</w:t>
            </w:r>
            <w:r>
              <w:rPr>
                <w:b/>
                <w:bCs/>
                <w:color w:val="auto"/>
                <w:kern w:val="0"/>
                <w:sz w:val="20"/>
                <w:szCs w:val="20"/>
                <w:lang w:bidi="ar"/>
              </w:rPr>
              <w:t>科学化管控。</w:t>
            </w:r>
          </w:p>
        </w:tc>
      </w:tr>
      <w:tr>
        <w:tblPrEx>
          <w:tblCellMar>
            <w:top w:w="0" w:type="dxa"/>
            <w:left w:w="108" w:type="dxa"/>
            <w:bottom w:w="0" w:type="dxa"/>
            <w:right w:w="108" w:type="dxa"/>
          </w:tblCellMar>
        </w:tblPrEx>
        <w:trPr>
          <w:gridBefore w:val="1"/>
          <w:gridAfter w:val="1"/>
          <w:wBefore w:w="105" w:type="dxa"/>
          <w:wAfter w:w="105" w:type="dxa"/>
          <w:trHeight w:val="540" w:hRule="atLeast"/>
          <w:jc w:val="center"/>
        </w:trPr>
        <w:tc>
          <w:tcPr>
            <w:tcW w:w="10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年度绩效指标完成情况</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一级指标</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二级指标</w:t>
            </w:r>
          </w:p>
        </w:tc>
        <w:tc>
          <w:tcPr>
            <w:tcW w:w="22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三级指标</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预期指标值</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实际完成指标值</w:t>
            </w:r>
          </w:p>
        </w:tc>
      </w:tr>
      <w:tr>
        <w:tblPrEx>
          <w:tblCellMar>
            <w:top w:w="0" w:type="dxa"/>
            <w:left w:w="108" w:type="dxa"/>
            <w:bottom w:w="0" w:type="dxa"/>
            <w:right w:w="108" w:type="dxa"/>
          </w:tblCellMar>
        </w:tblPrEx>
        <w:trPr>
          <w:gridBefore w:val="1"/>
          <w:gridAfter w:val="1"/>
          <w:wBefore w:w="105" w:type="dxa"/>
          <w:wAfter w:w="105" w:type="dxa"/>
          <w:trHeight w:val="420" w:hRule="atLeast"/>
          <w:jc w:val="center"/>
        </w:trPr>
        <w:tc>
          <w:tcPr>
            <w:tcW w:w="1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完</w:t>
            </w:r>
            <w:r>
              <w:rPr>
                <w:b/>
                <w:bCs/>
                <w:color w:val="auto"/>
                <w:kern w:val="0"/>
                <w:sz w:val="20"/>
                <w:szCs w:val="20"/>
                <w:lang w:bidi="ar"/>
              </w:rPr>
              <w:br w:type="textWrapping"/>
            </w:r>
            <w:r>
              <w:rPr>
                <w:b/>
                <w:bCs/>
                <w:color w:val="auto"/>
                <w:kern w:val="0"/>
                <w:sz w:val="20"/>
                <w:szCs w:val="20"/>
                <w:lang w:bidi="ar"/>
              </w:rPr>
              <w:t>成</w:t>
            </w:r>
            <w:r>
              <w:rPr>
                <w:b/>
                <w:bCs/>
                <w:color w:val="auto"/>
                <w:kern w:val="0"/>
                <w:sz w:val="20"/>
                <w:szCs w:val="20"/>
                <w:lang w:bidi="ar"/>
              </w:rPr>
              <w:br w:type="textWrapping"/>
            </w:r>
            <w:r>
              <w:rPr>
                <w:b/>
                <w:bCs/>
                <w:color w:val="auto"/>
                <w:kern w:val="0"/>
                <w:sz w:val="20"/>
                <w:szCs w:val="20"/>
                <w:lang w:bidi="ar"/>
              </w:rPr>
              <w:t>指</w:t>
            </w:r>
            <w:r>
              <w:rPr>
                <w:b/>
                <w:bCs/>
                <w:color w:val="auto"/>
                <w:kern w:val="0"/>
                <w:sz w:val="20"/>
                <w:szCs w:val="20"/>
                <w:lang w:bidi="ar"/>
              </w:rPr>
              <w:br w:type="textWrapping"/>
            </w:r>
            <w:r>
              <w:rPr>
                <w:b/>
                <w:bCs/>
                <w:color w:val="auto"/>
                <w:kern w:val="0"/>
                <w:sz w:val="20"/>
                <w:szCs w:val="20"/>
                <w:lang w:bidi="ar"/>
              </w:rPr>
              <w:t>标</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数量指标</w:t>
            </w:r>
          </w:p>
        </w:tc>
        <w:tc>
          <w:tcPr>
            <w:tcW w:w="22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电子信息化系统</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维护个数大于5个</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eastAsia="宋体"/>
                <w:b/>
                <w:bCs/>
                <w:color w:val="auto"/>
                <w:sz w:val="20"/>
                <w:szCs w:val="20"/>
                <w:lang w:eastAsia="zh-CN"/>
              </w:rPr>
            </w:pPr>
            <w:r>
              <w:rPr>
                <w:b/>
                <w:bCs/>
                <w:color w:val="auto"/>
                <w:kern w:val="0"/>
                <w:sz w:val="20"/>
                <w:szCs w:val="20"/>
                <w:lang w:bidi="ar"/>
              </w:rPr>
              <w:t>10</w:t>
            </w:r>
            <w:r>
              <w:rPr>
                <w:rFonts w:hint="eastAsia"/>
                <w:b/>
                <w:bCs/>
                <w:color w:val="auto"/>
                <w:kern w:val="0"/>
                <w:sz w:val="20"/>
                <w:szCs w:val="20"/>
                <w:lang w:eastAsia="zh-CN" w:bidi="ar"/>
              </w:rPr>
              <w:t>个</w:t>
            </w:r>
          </w:p>
        </w:tc>
      </w:tr>
      <w:tr>
        <w:tblPrEx>
          <w:tblCellMar>
            <w:top w:w="0" w:type="dxa"/>
            <w:left w:w="108" w:type="dxa"/>
            <w:bottom w:w="0" w:type="dxa"/>
            <w:right w:w="108" w:type="dxa"/>
          </w:tblCellMar>
        </w:tblPrEx>
        <w:trPr>
          <w:gridBefore w:val="1"/>
          <w:gridAfter w:val="1"/>
          <w:wBefore w:w="105" w:type="dxa"/>
          <w:wAfter w:w="105" w:type="dxa"/>
          <w:trHeight w:val="420" w:hRule="atLeast"/>
          <w:jc w:val="center"/>
        </w:trPr>
        <w:tc>
          <w:tcPr>
            <w:tcW w:w="1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质量指标</w:t>
            </w:r>
          </w:p>
        </w:tc>
        <w:tc>
          <w:tcPr>
            <w:tcW w:w="22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信息系统正常运行率</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98%</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98%</w:t>
            </w:r>
          </w:p>
        </w:tc>
      </w:tr>
      <w:tr>
        <w:tblPrEx>
          <w:tblCellMar>
            <w:top w:w="0" w:type="dxa"/>
            <w:left w:w="108" w:type="dxa"/>
            <w:bottom w:w="0" w:type="dxa"/>
            <w:right w:w="108" w:type="dxa"/>
          </w:tblCellMar>
        </w:tblPrEx>
        <w:trPr>
          <w:gridBefore w:val="1"/>
          <w:gridAfter w:val="1"/>
          <w:wBefore w:w="105" w:type="dxa"/>
          <w:wAfter w:w="105" w:type="dxa"/>
          <w:trHeight w:val="420" w:hRule="atLeast"/>
          <w:jc w:val="center"/>
        </w:trPr>
        <w:tc>
          <w:tcPr>
            <w:tcW w:w="1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22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信息新系统验收合格率</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100%</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100%</w:t>
            </w:r>
          </w:p>
        </w:tc>
      </w:tr>
      <w:tr>
        <w:tblPrEx>
          <w:tblCellMar>
            <w:top w:w="0" w:type="dxa"/>
            <w:left w:w="108" w:type="dxa"/>
            <w:bottom w:w="0" w:type="dxa"/>
            <w:right w:w="108" w:type="dxa"/>
          </w:tblCellMar>
        </w:tblPrEx>
        <w:trPr>
          <w:gridBefore w:val="1"/>
          <w:gridAfter w:val="1"/>
          <w:wBefore w:w="105" w:type="dxa"/>
          <w:wAfter w:w="105" w:type="dxa"/>
          <w:trHeight w:val="420" w:hRule="atLeast"/>
          <w:jc w:val="center"/>
        </w:trPr>
        <w:tc>
          <w:tcPr>
            <w:tcW w:w="1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时效指标</w:t>
            </w:r>
          </w:p>
        </w:tc>
        <w:tc>
          <w:tcPr>
            <w:tcW w:w="22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项目完成进度</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大于95%</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100%</w:t>
            </w:r>
          </w:p>
        </w:tc>
      </w:tr>
      <w:tr>
        <w:tblPrEx>
          <w:tblCellMar>
            <w:top w:w="0" w:type="dxa"/>
            <w:left w:w="108" w:type="dxa"/>
            <w:bottom w:w="0" w:type="dxa"/>
            <w:right w:w="108" w:type="dxa"/>
          </w:tblCellMar>
        </w:tblPrEx>
        <w:trPr>
          <w:gridBefore w:val="1"/>
          <w:gridAfter w:val="1"/>
          <w:wBefore w:w="105" w:type="dxa"/>
          <w:wAfter w:w="105" w:type="dxa"/>
          <w:trHeight w:val="420" w:hRule="atLeast"/>
          <w:jc w:val="center"/>
        </w:trPr>
        <w:tc>
          <w:tcPr>
            <w:tcW w:w="1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成本指标</w:t>
            </w:r>
          </w:p>
        </w:tc>
        <w:tc>
          <w:tcPr>
            <w:tcW w:w="22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经费额度</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在预算内支付资金</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eastAsia="宋体"/>
                <w:b/>
                <w:bCs/>
                <w:color w:val="auto"/>
                <w:sz w:val="20"/>
                <w:szCs w:val="20"/>
                <w:lang w:eastAsia="zh-CN"/>
              </w:rPr>
            </w:pPr>
            <w:r>
              <w:rPr>
                <w:b/>
                <w:bCs/>
                <w:color w:val="auto"/>
                <w:kern w:val="0"/>
                <w:sz w:val="20"/>
                <w:szCs w:val="20"/>
                <w:lang w:bidi="ar"/>
              </w:rPr>
              <w:t>320.7</w:t>
            </w:r>
            <w:r>
              <w:rPr>
                <w:rFonts w:hint="eastAsia"/>
                <w:b/>
                <w:bCs/>
                <w:color w:val="auto"/>
                <w:kern w:val="0"/>
                <w:sz w:val="20"/>
                <w:szCs w:val="20"/>
                <w:lang w:eastAsia="zh-CN" w:bidi="ar"/>
              </w:rPr>
              <w:t>万元</w:t>
            </w:r>
          </w:p>
        </w:tc>
      </w:tr>
      <w:tr>
        <w:tblPrEx>
          <w:tblCellMar>
            <w:top w:w="0" w:type="dxa"/>
            <w:left w:w="108" w:type="dxa"/>
            <w:bottom w:w="0" w:type="dxa"/>
            <w:right w:w="108" w:type="dxa"/>
          </w:tblCellMar>
        </w:tblPrEx>
        <w:trPr>
          <w:gridBefore w:val="1"/>
          <w:gridAfter w:val="1"/>
          <w:wBefore w:w="105" w:type="dxa"/>
          <w:wAfter w:w="105" w:type="dxa"/>
          <w:trHeight w:val="420" w:hRule="atLeast"/>
          <w:jc w:val="center"/>
        </w:trPr>
        <w:tc>
          <w:tcPr>
            <w:tcW w:w="1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效</w:t>
            </w:r>
            <w:r>
              <w:rPr>
                <w:b/>
                <w:bCs/>
                <w:color w:val="auto"/>
                <w:kern w:val="0"/>
                <w:sz w:val="20"/>
                <w:szCs w:val="20"/>
                <w:lang w:bidi="ar"/>
              </w:rPr>
              <w:br w:type="textWrapping"/>
            </w:r>
            <w:r>
              <w:rPr>
                <w:b/>
                <w:bCs/>
                <w:color w:val="auto"/>
                <w:kern w:val="0"/>
                <w:sz w:val="20"/>
                <w:szCs w:val="20"/>
                <w:lang w:bidi="ar"/>
              </w:rPr>
              <w:t>益</w:t>
            </w:r>
            <w:r>
              <w:rPr>
                <w:b/>
                <w:bCs/>
                <w:color w:val="auto"/>
                <w:kern w:val="0"/>
                <w:sz w:val="20"/>
                <w:szCs w:val="20"/>
                <w:lang w:bidi="ar"/>
              </w:rPr>
              <w:br w:type="textWrapping"/>
            </w:r>
            <w:r>
              <w:rPr>
                <w:b/>
                <w:bCs/>
                <w:color w:val="auto"/>
                <w:kern w:val="0"/>
                <w:sz w:val="20"/>
                <w:szCs w:val="20"/>
                <w:lang w:bidi="ar"/>
              </w:rPr>
              <w:t>指</w:t>
            </w:r>
            <w:r>
              <w:rPr>
                <w:b/>
                <w:bCs/>
                <w:color w:val="auto"/>
                <w:kern w:val="0"/>
                <w:sz w:val="20"/>
                <w:szCs w:val="20"/>
                <w:lang w:bidi="ar"/>
              </w:rPr>
              <w:br w:type="textWrapping"/>
            </w:r>
            <w:r>
              <w:rPr>
                <w:b/>
                <w:bCs/>
                <w:color w:val="auto"/>
                <w:kern w:val="0"/>
                <w:sz w:val="20"/>
                <w:szCs w:val="20"/>
                <w:lang w:bidi="ar"/>
              </w:rPr>
              <w:t>标</w:t>
            </w:r>
          </w:p>
        </w:tc>
        <w:tc>
          <w:tcPr>
            <w:tcW w:w="13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kern w:val="0"/>
                <w:sz w:val="20"/>
                <w:szCs w:val="20"/>
                <w:lang w:bidi="ar"/>
              </w:rPr>
            </w:pPr>
            <w:r>
              <w:rPr>
                <w:b/>
                <w:bCs/>
                <w:color w:val="auto"/>
                <w:kern w:val="0"/>
                <w:sz w:val="20"/>
                <w:szCs w:val="20"/>
                <w:lang w:bidi="ar"/>
              </w:rPr>
              <w:t>经济效益</w:t>
            </w:r>
          </w:p>
          <w:p>
            <w:pPr>
              <w:widowControl/>
              <w:jc w:val="center"/>
              <w:textAlignment w:val="center"/>
              <w:rPr>
                <w:b/>
                <w:bCs/>
                <w:color w:val="auto"/>
                <w:sz w:val="20"/>
                <w:szCs w:val="20"/>
              </w:rPr>
            </w:pPr>
            <w:r>
              <w:rPr>
                <w:b/>
                <w:bCs/>
                <w:color w:val="auto"/>
                <w:kern w:val="0"/>
                <w:sz w:val="20"/>
                <w:szCs w:val="20"/>
                <w:lang w:bidi="ar"/>
              </w:rPr>
              <w:t>指标</w:t>
            </w:r>
          </w:p>
        </w:tc>
        <w:tc>
          <w:tcPr>
            <w:tcW w:w="22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资金使用效果</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降低印刷费用</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kern w:val="0"/>
                <w:sz w:val="20"/>
                <w:szCs w:val="20"/>
                <w:lang w:bidi="ar"/>
              </w:rPr>
            </w:pPr>
            <w:r>
              <w:rPr>
                <w:b/>
                <w:bCs/>
                <w:color w:val="auto"/>
                <w:kern w:val="0"/>
                <w:sz w:val="20"/>
                <w:szCs w:val="20"/>
                <w:lang w:bidi="ar"/>
              </w:rPr>
              <w:t>降低了机关</w:t>
            </w:r>
          </w:p>
          <w:p>
            <w:pPr>
              <w:widowControl/>
              <w:jc w:val="center"/>
              <w:textAlignment w:val="center"/>
              <w:rPr>
                <w:b/>
                <w:bCs/>
                <w:color w:val="auto"/>
                <w:sz w:val="20"/>
                <w:szCs w:val="20"/>
              </w:rPr>
            </w:pPr>
            <w:r>
              <w:rPr>
                <w:b/>
                <w:bCs/>
                <w:color w:val="auto"/>
                <w:kern w:val="0"/>
                <w:sz w:val="20"/>
                <w:szCs w:val="20"/>
                <w:lang w:bidi="ar"/>
              </w:rPr>
              <w:t>印刷费用</w:t>
            </w:r>
          </w:p>
        </w:tc>
      </w:tr>
      <w:tr>
        <w:tblPrEx>
          <w:tblCellMar>
            <w:top w:w="0" w:type="dxa"/>
            <w:left w:w="108" w:type="dxa"/>
            <w:bottom w:w="0" w:type="dxa"/>
            <w:right w:w="108" w:type="dxa"/>
          </w:tblCellMar>
        </w:tblPrEx>
        <w:trPr>
          <w:gridBefore w:val="1"/>
          <w:gridAfter w:val="1"/>
          <w:wBefore w:w="105" w:type="dxa"/>
          <w:wAfter w:w="105" w:type="dxa"/>
          <w:trHeight w:val="420" w:hRule="atLeast"/>
          <w:jc w:val="center"/>
        </w:trPr>
        <w:tc>
          <w:tcPr>
            <w:tcW w:w="1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22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纸张使用节约率</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减少20%</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减少20%以上</w:t>
            </w:r>
          </w:p>
        </w:tc>
      </w:tr>
      <w:tr>
        <w:tblPrEx>
          <w:tblCellMar>
            <w:top w:w="0" w:type="dxa"/>
            <w:left w:w="108" w:type="dxa"/>
            <w:bottom w:w="0" w:type="dxa"/>
            <w:right w:w="108" w:type="dxa"/>
          </w:tblCellMar>
        </w:tblPrEx>
        <w:trPr>
          <w:gridBefore w:val="1"/>
          <w:gridAfter w:val="1"/>
          <w:wBefore w:w="105" w:type="dxa"/>
          <w:wAfter w:w="105" w:type="dxa"/>
          <w:trHeight w:val="420" w:hRule="atLeast"/>
          <w:jc w:val="center"/>
        </w:trPr>
        <w:tc>
          <w:tcPr>
            <w:tcW w:w="1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kern w:val="0"/>
                <w:sz w:val="20"/>
                <w:szCs w:val="20"/>
                <w:lang w:bidi="ar"/>
              </w:rPr>
            </w:pPr>
            <w:r>
              <w:rPr>
                <w:b/>
                <w:bCs/>
                <w:color w:val="auto"/>
                <w:kern w:val="0"/>
                <w:sz w:val="20"/>
                <w:szCs w:val="20"/>
                <w:lang w:bidi="ar"/>
              </w:rPr>
              <w:t>社会效益</w:t>
            </w:r>
          </w:p>
          <w:p>
            <w:pPr>
              <w:widowControl/>
              <w:jc w:val="center"/>
              <w:textAlignment w:val="center"/>
              <w:rPr>
                <w:b/>
                <w:bCs/>
                <w:color w:val="auto"/>
                <w:sz w:val="20"/>
                <w:szCs w:val="20"/>
              </w:rPr>
            </w:pPr>
            <w:r>
              <w:rPr>
                <w:b/>
                <w:bCs/>
                <w:color w:val="auto"/>
                <w:kern w:val="0"/>
                <w:sz w:val="20"/>
                <w:szCs w:val="20"/>
                <w:lang w:bidi="ar"/>
              </w:rPr>
              <w:t>指标</w:t>
            </w:r>
          </w:p>
        </w:tc>
        <w:tc>
          <w:tcPr>
            <w:tcW w:w="22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提高办公效率</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30%</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大于30%</w:t>
            </w:r>
          </w:p>
        </w:tc>
      </w:tr>
      <w:tr>
        <w:tblPrEx>
          <w:tblCellMar>
            <w:top w:w="0" w:type="dxa"/>
            <w:left w:w="108" w:type="dxa"/>
            <w:bottom w:w="0" w:type="dxa"/>
            <w:right w:w="108" w:type="dxa"/>
          </w:tblCellMar>
        </w:tblPrEx>
        <w:trPr>
          <w:gridBefore w:val="1"/>
          <w:gridAfter w:val="1"/>
          <w:wBefore w:w="105" w:type="dxa"/>
          <w:wAfter w:w="105" w:type="dxa"/>
          <w:trHeight w:val="1460" w:hRule="atLeast"/>
          <w:jc w:val="center"/>
        </w:trPr>
        <w:tc>
          <w:tcPr>
            <w:tcW w:w="1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kern w:val="0"/>
                <w:sz w:val="20"/>
                <w:szCs w:val="20"/>
                <w:lang w:bidi="ar"/>
              </w:rPr>
            </w:pPr>
            <w:r>
              <w:rPr>
                <w:b/>
                <w:bCs/>
                <w:color w:val="auto"/>
                <w:kern w:val="0"/>
                <w:sz w:val="20"/>
                <w:szCs w:val="20"/>
                <w:lang w:bidi="ar"/>
              </w:rPr>
              <w:t>生态效益</w:t>
            </w:r>
          </w:p>
          <w:p>
            <w:pPr>
              <w:widowControl/>
              <w:jc w:val="center"/>
              <w:textAlignment w:val="center"/>
              <w:rPr>
                <w:b/>
                <w:bCs/>
                <w:color w:val="auto"/>
                <w:sz w:val="20"/>
                <w:szCs w:val="20"/>
              </w:rPr>
            </w:pPr>
            <w:r>
              <w:rPr>
                <w:b/>
                <w:bCs/>
                <w:color w:val="auto"/>
                <w:kern w:val="0"/>
                <w:sz w:val="20"/>
                <w:szCs w:val="20"/>
                <w:lang w:bidi="ar"/>
              </w:rPr>
              <w:t>指标</w:t>
            </w:r>
          </w:p>
        </w:tc>
        <w:tc>
          <w:tcPr>
            <w:tcW w:w="22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推进无纸化办公</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推进省人大常委会机关无纸化办公，减少资源的使用，降低对环境的污染</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0"/>
                <w:szCs w:val="20"/>
              </w:rPr>
            </w:pPr>
            <w:r>
              <w:rPr>
                <w:b/>
                <w:bCs/>
                <w:color w:val="auto"/>
                <w:kern w:val="0"/>
                <w:sz w:val="20"/>
                <w:szCs w:val="20"/>
                <w:lang w:bidi="ar"/>
              </w:rPr>
              <w:t>推进</w:t>
            </w:r>
            <w:r>
              <w:rPr>
                <w:rFonts w:hint="eastAsia"/>
                <w:b/>
                <w:bCs/>
                <w:color w:val="auto"/>
                <w:kern w:val="0"/>
                <w:sz w:val="20"/>
                <w:szCs w:val="20"/>
                <w:lang w:eastAsia="zh-CN" w:bidi="ar"/>
              </w:rPr>
              <w:t>了</w:t>
            </w:r>
            <w:r>
              <w:rPr>
                <w:b/>
                <w:bCs/>
                <w:color w:val="auto"/>
                <w:kern w:val="0"/>
                <w:sz w:val="20"/>
                <w:szCs w:val="20"/>
                <w:lang w:bidi="ar"/>
              </w:rPr>
              <w:t>省人大常委会机关无纸化办公，减少资源的使用，降低</w:t>
            </w:r>
            <w:r>
              <w:rPr>
                <w:rFonts w:hint="eastAsia"/>
                <w:b/>
                <w:bCs/>
                <w:color w:val="auto"/>
                <w:kern w:val="0"/>
                <w:sz w:val="20"/>
                <w:szCs w:val="20"/>
                <w:lang w:eastAsia="zh-CN" w:bidi="ar"/>
              </w:rPr>
              <w:t>了</w:t>
            </w:r>
            <w:r>
              <w:rPr>
                <w:b/>
                <w:bCs/>
                <w:color w:val="auto"/>
                <w:kern w:val="0"/>
                <w:sz w:val="20"/>
                <w:szCs w:val="20"/>
                <w:lang w:bidi="ar"/>
              </w:rPr>
              <w:t>对环境的污染</w:t>
            </w:r>
          </w:p>
        </w:tc>
      </w:tr>
      <w:tr>
        <w:tblPrEx>
          <w:tblCellMar>
            <w:top w:w="0" w:type="dxa"/>
            <w:left w:w="108" w:type="dxa"/>
            <w:bottom w:w="0" w:type="dxa"/>
            <w:right w:w="108" w:type="dxa"/>
          </w:tblCellMar>
        </w:tblPrEx>
        <w:trPr>
          <w:gridBefore w:val="1"/>
          <w:gridAfter w:val="1"/>
          <w:wBefore w:w="105" w:type="dxa"/>
          <w:wAfter w:w="105" w:type="dxa"/>
          <w:trHeight w:val="1560" w:hRule="atLeast"/>
          <w:jc w:val="center"/>
        </w:trPr>
        <w:tc>
          <w:tcPr>
            <w:tcW w:w="1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可持续影响</w:t>
            </w:r>
            <w:r>
              <w:rPr>
                <w:b/>
                <w:bCs/>
                <w:color w:val="auto"/>
                <w:kern w:val="0"/>
                <w:sz w:val="20"/>
                <w:szCs w:val="20"/>
                <w:lang w:bidi="ar"/>
              </w:rPr>
              <w:br w:type="textWrapping"/>
            </w:r>
            <w:r>
              <w:rPr>
                <w:b/>
                <w:bCs/>
                <w:color w:val="auto"/>
                <w:kern w:val="0"/>
                <w:sz w:val="20"/>
                <w:szCs w:val="20"/>
                <w:lang w:bidi="ar"/>
              </w:rPr>
              <w:t>指标</w:t>
            </w:r>
          </w:p>
        </w:tc>
        <w:tc>
          <w:tcPr>
            <w:tcW w:w="22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平台作用的持久影响</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0"/>
                <w:szCs w:val="20"/>
              </w:rPr>
            </w:pPr>
            <w:r>
              <w:rPr>
                <w:b/>
                <w:bCs/>
                <w:color w:val="auto"/>
                <w:kern w:val="0"/>
                <w:sz w:val="20"/>
                <w:szCs w:val="20"/>
                <w:lang w:bidi="ar"/>
              </w:rPr>
              <w:t>通过平台建设，为信息化办公打下基础，逐步向现代化办公方式转变</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0"/>
                <w:szCs w:val="20"/>
              </w:rPr>
            </w:pPr>
            <w:r>
              <w:rPr>
                <w:b/>
                <w:bCs/>
                <w:color w:val="auto"/>
                <w:kern w:val="0"/>
                <w:sz w:val="20"/>
                <w:szCs w:val="20"/>
                <w:lang w:bidi="ar"/>
              </w:rPr>
              <w:t>完成</w:t>
            </w:r>
            <w:r>
              <w:rPr>
                <w:rFonts w:hint="eastAsia"/>
                <w:b/>
                <w:bCs/>
                <w:color w:val="auto"/>
                <w:kern w:val="0"/>
                <w:sz w:val="20"/>
                <w:szCs w:val="20"/>
                <w:lang w:eastAsia="zh-CN" w:bidi="ar"/>
              </w:rPr>
              <w:t>了</w:t>
            </w:r>
            <w:r>
              <w:rPr>
                <w:b/>
                <w:bCs/>
                <w:color w:val="auto"/>
                <w:kern w:val="0"/>
                <w:sz w:val="20"/>
                <w:szCs w:val="20"/>
                <w:lang w:bidi="ar"/>
              </w:rPr>
              <w:t>财务</w:t>
            </w:r>
            <w:r>
              <w:rPr>
                <w:rFonts w:hint="eastAsia"/>
                <w:b/>
                <w:bCs/>
                <w:color w:val="auto"/>
                <w:kern w:val="0"/>
                <w:sz w:val="20"/>
                <w:szCs w:val="20"/>
                <w:lang w:eastAsia="zh-CN" w:bidi="ar"/>
              </w:rPr>
              <w:t>内控</w:t>
            </w:r>
            <w:r>
              <w:rPr>
                <w:b/>
                <w:bCs/>
                <w:color w:val="auto"/>
                <w:kern w:val="0"/>
                <w:sz w:val="20"/>
                <w:szCs w:val="20"/>
                <w:lang w:bidi="ar"/>
              </w:rPr>
              <w:t>平台和表决系统建设，为信息化办公打下了基础，逐步向现代化办公方式转变</w:t>
            </w:r>
          </w:p>
        </w:tc>
      </w:tr>
      <w:tr>
        <w:tblPrEx>
          <w:tblCellMar>
            <w:top w:w="0" w:type="dxa"/>
            <w:left w:w="108" w:type="dxa"/>
            <w:bottom w:w="0" w:type="dxa"/>
            <w:right w:w="108" w:type="dxa"/>
          </w:tblCellMar>
        </w:tblPrEx>
        <w:trPr>
          <w:gridBefore w:val="1"/>
          <w:gridAfter w:val="1"/>
          <w:wBefore w:w="105" w:type="dxa"/>
          <w:wAfter w:w="105" w:type="dxa"/>
          <w:trHeight w:val="600" w:hRule="atLeast"/>
          <w:jc w:val="center"/>
        </w:trPr>
        <w:tc>
          <w:tcPr>
            <w:tcW w:w="10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满意度综合指标</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满意度指标</w:t>
            </w:r>
          </w:p>
        </w:tc>
        <w:tc>
          <w:tcPr>
            <w:tcW w:w="22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服务对象满意度</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大于95%</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大于95%</w:t>
            </w:r>
          </w:p>
        </w:tc>
      </w:tr>
      <w:tr>
        <w:tblPrEx>
          <w:tblCellMar>
            <w:top w:w="0" w:type="dxa"/>
            <w:left w:w="108" w:type="dxa"/>
            <w:bottom w:w="0" w:type="dxa"/>
            <w:right w:w="108" w:type="dxa"/>
          </w:tblCellMar>
        </w:tblPrEx>
        <w:trPr>
          <w:trHeight w:val="380" w:hRule="atLeast"/>
          <w:jc w:val="center"/>
        </w:trPr>
        <w:tc>
          <w:tcPr>
            <w:tcW w:w="9900" w:type="dxa"/>
            <w:gridSpan w:val="15"/>
            <w:tcBorders>
              <w:top w:val="nil"/>
              <w:left w:val="nil"/>
              <w:bottom w:val="nil"/>
              <w:right w:val="nil"/>
            </w:tcBorders>
            <w:shd w:val="clear" w:color="auto" w:fill="auto"/>
            <w:vAlign w:val="center"/>
          </w:tcPr>
          <w:p>
            <w:pPr>
              <w:keepNext w:val="0"/>
              <w:keepLines w:val="0"/>
              <w:widowControl/>
              <w:suppressLineNumbers w:val="0"/>
              <w:jc w:val="center"/>
              <w:textAlignment w:val="center"/>
              <w:rPr>
                <w:b/>
                <w:bCs/>
                <w:color w:val="auto"/>
                <w:sz w:val="32"/>
                <w:szCs w:val="32"/>
              </w:rPr>
            </w:pPr>
            <w:r>
              <w:rPr>
                <w:rFonts w:hint="default" w:ascii="Times New Roman" w:hAnsi="Times New Roman" w:eastAsia="宋体" w:cs="Times New Roman"/>
                <w:b/>
                <w:bCs/>
                <w:i w:val="0"/>
                <w:iCs w:val="0"/>
                <w:color w:val="000000"/>
                <w:kern w:val="0"/>
                <w:sz w:val="32"/>
                <w:szCs w:val="32"/>
                <w:u w:val="none"/>
                <w:lang w:val="en-US" w:eastAsia="zh-CN" w:bidi="ar"/>
              </w:rPr>
              <w:t>项目支出绩效自评表</w:t>
            </w:r>
          </w:p>
        </w:tc>
      </w:tr>
      <w:tr>
        <w:tblPrEx>
          <w:tblCellMar>
            <w:top w:w="0" w:type="dxa"/>
            <w:left w:w="108" w:type="dxa"/>
            <w:bottom w:w="0" w:type="dxa"/>
            <w:right w:w="108" w:type="dxa"/>
          </w:tblCellMar>
        </w:tblPrEx>
        <w:trPr>
          <w:trHeight w:val="380" w:hRule="atLeast"/>
          <w:jc w:val="center"/>
        </w:trPr>
        <w:tc>
          <w:tcPr>
            <w:tcW w:w="9900" w:type="dxa"/>
            <w:gridSpan w:val="15"/>
            <w:tcBorders>
              <w:top w:val="nil"/>
              <w:left w:val="nil"/>
              <w:bottom w:val="nil"/>
              <w:right w:val="nil"/>
            </w:tcBorders>
            <w:shd w:val="clear" w:color="auto" w:fill="auto"/>
            <w:vAlign w:val="center"/>
          </w:tcPr>
          <w:p>
            <w:pPr>
              <w:keepNext w:val="0"/>
              <w:keepLines w:val="0"/>
              <w:widowControl/>
              <w:suppressLineNumbers w:val="0"/>
              <w:jc w:val="center"/>
              <w:textAlignment w:val="center"/>
              <w:rPr>
                <w:b/>
                <w:bCs/>
                <w:color w:val="auto"/>
                <w:sz w:val="24"/>
              </w:rPr>
            </w:pPr>
            <w:r>
              <w:rPr>
                <w:rFonts w:hint="default" w:ascii="Times New Roman" w:hAnsi="Times New Roman" w:eastAsia="宋体" w:cs="Times New Roman"/>
                <w:b/>
                <w:bCs/>
                <w:i w:val="0"/>
                <w:iCs w:val="0"/>
                <w:color w:val="000000"/>
                <w:kern w:val="0"/>
                <w:sz w:val="24"/>
                <w:szCs w:val="24"/>
                <w:u w:val="none"/>
                <w:lang w:val="en-US" w:eastAsia="zh-CN" w:bidi="ar"/>
              </w:rPr>
              <w:t>（2020</w:t>
            </w:r>
            <w:r>
              <w:rPr>
                <w:rStyle w:val="30"/>
                <w:b/>
                <w:bCs/>
                <w:lang w:val="en-US" w:eastAsia="zh-CN" w:bidi="ar"/>
              </w:rPr>
              <w:t>年度）</w:t>
            </w:r>
          </w:p>
        </w:tc>
      </w:tr>
      <w:tr>
        <w:tblPrEx>
          <w:tblCellMar>
            <w:top w:w="0" w:type="dxa"/>
            <w:left w:w="108" w:type="dxa"/>
            <w:bottom w:w="0" w:type="dxa"/>
            <w:right w:w="108" w:type="dxa"/>
          </w:tblCellMar>
        </w:tblPrEx>
        <w:trPr>
          <w:trHeight w:val="380" w:hRule="atLeast"/>
          <w:jc w:val="center"/>
        </w:trPr>
        <w:tc>
          <w:tcPr>
            <w:tcW w:w="22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项目名称</w:t>
            </w:r>
          </w:p>
        </w:tc>
        <w:tc>
          <w:tcPr>
            <w:tcW w:w="7638"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监督检查专项经费</w:t>
            </w:r>
          </w:p>
        </w:tc>
      </w:tr>
      <w:tr>
        <w:tblPrEx>
          <w:tblCellMar>
            <w:top w:w="0" w:type="dxa"/>
            <w:left w:w="108" w:type="dxa"/>
            <w:bottom w:w="0" w:type="dxa"/>
            <w:right w:w="108" w:type="dxa"/>
          </w:tblCellMar>
        </w:tblPrEx>
        <w:trPr>
          <w:trHeight w:val="560" w:hRule="atLeast"/>
          <w:jc w:val="center"/>
        </w:trPr>
        <w:tc>
          <w:tcPr>
            <w:tcW w:w="22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主管部门及代码</w:t>
            </w:r>
          </w:p>
        </w:tc>
        <w:tc>
          <w:tcPr>
            <w:tcW w:w="339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eastAsia" w:ascii="宋体" w:hAnsi="宋体" w:eastAsia="宋体" w:cs="宋体"/>
                <w:b/>
                <w:bCs/>
                <w:i w:val="0"/>
                <w:iCs w:val="0"/>
                <w:color w:val="000000"/>
                <w:kern w:val="0"/>
                <w:sz w:val="20"/>
                <w:szCs w:val="20"/>
                <w:u w:val="none"/>
                <w:lang w:val="en-US" w:eastAsia="zh-CN" w:bidi="ar"/>
              </w:rPr>
              <w:t>四川省人民代表大会常务</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委员会办公厅</w:t>
            </w:r>
          </w:p>
        </w:tc>
        <w:tc>
          <w:tcPr>
            <w:tcW w:w="21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实施单位</w:t>
            </w:r>
          </w:p>
        </w:tc>
        <w:tc>
          <w:tcPr>
            <w:tcW w:w="21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四川省人民代表大会常务委员会办公厅</w:t>
            </w:r>
          </w:p>
        </w:tc>
      </w:tr>
      <w:tr>
        <w:tblPrEx>
          <w:tblCellMar>
            <w:top w:w="0" w:type="dxa"/>
            <w:left w:w="108" w:type="dxa"/>
            <w:bottom w:w="0" w:type="dxa"/>
            <w:right w:w="108" w:type="dxa"/>
          </w:tblCellMar>
        </w:tblPrEx>
        <w:trPr>
          <w:trHeight w:val="360" w:hRule="atLeast"/>
          <w:jc w:val="center"/>
        </w:trPr>
        <w:tc>
          <w:tcPr>
            <w:tcW w:w="22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项目预算</w:t>
            </w:r>
          </w:p>
        </w:tc>
        <w:tc>
          <w:tcPr>
            <w:tcW w:w="2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预算数：</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247.55</w:t>
            </w:r>
          </w:p>
        </w:tc>
        <w:tc>
          <w:tcPr>
            <w:tcW w:w="21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执行数：</w:t>
            </w:r>
          </w:p>
        </w:tc>
        <w:tc>
          <w:tcPr>
            <w:tcW w:w="21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244.34</w:t>
            </w:r>
          </w:p>
        </w:tc>
      </w:tr>
      <w:tr>
        <w:tblPrEx>
          <w:tblCellMar>
            <w:top w:w="0" w:type="dxa"/>
            <w:left w:w="108" w:type="dxa"/>
            <w:bottom w:w="0" w:type="dxa"/>
            <w:right w:w="108" w:type="dxa"/>
          </w:tblCellMar>
        </w:tblPrEx>
        <w:trPr>
          <w:trHeight w:val="360" w:hRule="atLeast"/>
          <w:jc w:val="center"/>
        </w:trPr>
        <w:tc>
          <w:tcPr>
            <w:tcW w:w="22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执行情况</w:t>
            </w:r>
          </w:p>
        </w:tc>
        <w:tc>
          <w:tcPr>
            <w:tcW w:w="2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其中：财政拨款</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247.55</w:t>
            </w:r>
          </w:p>
        </w:tc>
        <w:tc>
          <w:tcPr>
            <w:tcW w:w="21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其中：财政拨款</w:t>
            </w:r>
          </w:p>
        </w:tc>
        <w:tc>
          <w:tcPr>
            <w:tcW w:w="21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244.34</w:t>
            </w:r>
          </w:p>
        </w:tc>
      </w:tr>
      <w:tr>
        <w:tblPrEx>
          <w:tblCellMar>
            <w:top w:w="0" w:type="dxa"/>
            <w:left w:w="108" w:type="dxa"/>
            <w:bottom w:w="0" w:type="dxa"/>
            <w:right w:w="108" w:type="dxa"/>
          </w:tblCellMar>
        </w:tblPrEx>
        <w:trPr>
          <w:trHeight w:val="360" w:hRule="atLeast"/>
          <w:jc w:val="center"/>
        </w:trPr>
        <w:tc>
          <w:tcPr>
            <w:tcW w:w="22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（万元）</w:t>
            </w:r>
          </w:p>
        </w:tc>
        <w:tc>
          <w:tcPr>
            <w:tcW w:w="2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其他资金</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0</w:t>
            </w:r>
          </w:p>
        </w:tc>
        <w:tc>
          <w:tcPr>
            <w:tcW w:w="21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其他资金</w:t>
            </w:r>
          </w:p>
        </w:tc>
        <w:tc>
          <w:tcPr>
            <w:tcW w:w="21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0</w:t>
            </w:r>
          </w:p>
        </w:tc>
      </w:tr>
      <w:tr>
        <w:tblPrEx>
          <w:tblCellMar>
            <w:top w:w="0" w:type="dxa"/>
            <w:left w:w="108" w:type="dxa"/>
            <w:bottom w:w="0" w:type="dxa"/>
            <w:right w:w="108" w:type="dxa"/>
          </w:tblCellMar>
        </w:tblPrEx>
        <w:trPr>
          <w:trHeight w:val="360" w:hRule="atLeast"/>
          <w:jc w:val="center"/>
        </w:trPr>
        <w:tc>
          <w:tcPr>
            <w:tcW w:w="113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年度总体目标完成情况</w:t>
            </w:r>
          </w:p>
        </w:tc>
        <w:tc>
          <w:tcPr>
            <w:tcW w:w="452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预期目标</w:t>
            </w:r>
          </w:p>
        </w:tc>
        <w:tc>
          <w:tcPr>
            <w:tcW w:w="424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目标实际完成情况</w:t>
            </w:r>
          </w:p>
        </w:tc>
      </w:tr>
      <w:tr>
        <w:tblPrEx>
          <w:tblCellMar>
            <w:top w:w="0" w:type="dxa"/>
            <w:left w:w="108" w:type="dxa"/>
            <w:bottom w:w="0" w:type="dxa"/>
            <w:right w:w="108" w:type="dxa"/>
          </w:tblCellMar>
        </w:tblPrEx>
        <w:trPr>
          <w:trHeight w:val="1794" w:hRule="atLeast"/>
          <w:jc w:val="center"/>
        </w:trPr>
        <w:tc>
          <w:tcPr>
            <w:tcW w:w="11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452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通过执法检查、专题询问、法律法规备案审查和工作评议、预决算审查等形式，履行人大监督职能，加强和改进监督工作，推动全省各项工作在法治轨道上有序运行。</w:t>
            </w:r>
          </w:p>
        </w:tc>
        <w:tc>
          <w:tcPr>
            <w:tcW w:w="424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全年坚持依法监督、正确监督、有效监督，聚焦贯彻落实中央和省委决策部署，聚焦行政权、监察权、审判权、检察权依法正确行使，聚焦人民群众关心关注的大事难事，认真履行监督职能，切实增强</w:t>
            </w:r>
            <w:r>
              <w:rPr>
                <w:rStyle w:val="31"/>
                <w:b/>
                <w:bCs/>
                <w:lang w:val="en-US" w:eastAsia="zh-CN" w:bidi="ar"/>
              </w:rPr>
              <w:t>了</w:t>
            </w:r>
            <w:r>
              <w:rPr>
                <w:rStyle w:val="32"/>
                <w:rFonts w:eastAsia="宋体"/>
                <w:b/>
                <w:bCs/>
                <w:lang w:val="en-US" w:eastAsia="zh-CN" w:bidi="ar"/>
              </w:rPr>
              <w:t>监督的主动性、及时性和权威性。</w:t>
            </w:r>
          </w:p>
        </w:tc>
      </w:tr>
      <w:tr>
        <w:tblPrEx>
          <w:tblCellMar>
            <w:top w:w="0" w:type="dxa"/>
            <w:left w:w="108" w:type="dxa"/>
            <w:bottom w:w="0" w:type="dxa"/>
            <w:right w:w="108" w:type="dxa"/>
          </w:tblCellMar>
        </w:tblPrEx>
        <w:trPr>
          <w:trHeight w:val="360" w:hRule="atLeast"/>
          <w:jc w:val="center"/>
        </w:trPr>
        <w:tc>
          <w:tcPr>
            <w:tcW w:w="113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年度绩效指标完成情况</w:t>
            </w:r>
          </w:p>
        </w:tc>
        <w:tc>
          <w:tcPr>
            <w:tcW w:w="11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一级指标</w:t>
            </w:r>
          </w:p>
        </w:tc>
        <w:tc>
          <w:tcPr>
            <w:tcW w:w="11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二级指标</w:t>
            </w:r>
          </w:p>
        </w:tc>
        <w:tc>
          <w:tcPr>
            <w:tcW w:w="22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三级指标</w:t>
            </w:r>
          </w:p>
        </w:tc>
        <w:tc>
          <w:tcPr>
            <w:tcW w:w="21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预期指标值</w:t>
            </w:r>
          </w:p>
        </w:tc>
        <w:tc>
          <w:tcPr>
            <w:tcW w:w="21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实际完成指标值</w:t>
            </w:r>
          </w:p>
        </w:tc>
      </w:tr>
      <w:tr>
        <w:tblPrEx>
          <w:tblCellMar>
            <w:top w:w="0" w:type="dxa"/>
            <w:left w:w="108" w:type="dxa"/>
            <w:bottom w:w="0" w:type="dxa"/>
            <w:right w:w="108" w:type="dxa"/>
          </w:tblCellMar>
        </w:tblPrEx>
        <w:trPr>
          <w:trHeight w:val="540" w:hRule="atLeast"/>
          <w:jc w:val="center"/>
        </w:trPr>
        <w:tc>
          <w:tcPr>
            <w:tcW w:w="11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3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eastAsia" w:ascii="宋体" w:hAnsi="宋体" w:eastAsia="宋体" w:cs="宋体"/>
                <w:b/>
                <w:bCs/>
                <w:i w:val="0"/>
                <w:iCs w:val="0"/>
                <w:color w:val="000000"/>
                <w:kern w:val="0"/>
                <w:sz w:val="20"/>
                <w:szCs w:val="20"/>
                <w:u w:val="none"/>
                <w:lang w:val="en-US" w:eastAsia="zh-CN" w:bidi="ar"/>
              </w:rPr>
              <w:t>完成指标</w:t>
            </w:r>
          </w:p>
        </w:tc>
        <w:tc>
          <w:tcPr>
            <w:tcW w:w="113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数量指标</w:t>
            </w:r>
          </w:p>
        </w:tc>
        <w:tc>
          <w:tcPr>
            <w:tcW w:w="22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开展城乡建设环境领域相关执法检查</w:t>
            </w:r>
          </w:p>
        </w:tc>
        <w:tc>
          <w:tcPr>
            <w:tcW w:w="21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大于等于2</w:t>
            </w:r>
            <w:r>
              <w:rPr>
                <w:rStyle w:val="31"/>
                <w:b/>
                <w:bCs/>
                <w:lang w:val="en-US" w:eastAsia="zh-CN" w:bidi="ar"/>
              </w:rPr>
              <w:t>次</w:t>
            </w:r>
          </w:p>
        </w:tc>
        <w:tc>
          <w:tcPr>
            <w:tcW w:w="21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2</w:t>
            </w:r>
            <w:r>
              <w:rPr>
                <w:rStyle w:val="31"/>
                <w:b/>
                <w:bCs/>
                <w:lang w:val="en-US" w:eastAsia="zh-CN" w:bidi="ar"/>
              </w:rPr>
              <w:t>次</w:t>
            </w:r>
          </w:p>
        </w:tc>
      </w:tr>
      <w:tr>
        <w:tblPrEx>
          <w:tblCellMar>
            <w:top w:w="0" w:type="dxa"/>
            <w:left w:w="108" w:type="dxa"/>
            <w:bottom w:w="0" w:type="dxa"/>
            <w:right w:w="108" w:type="dxa"/>
          </w:tblCellMar>
        </w:tblPrEx>
        <w:trPr>
          <w:trHeight w:val="320" w:hRule="atLeast"/>
          <w:jc w:val="center"/>
        </w:trPr>
        <w:tc>
          <w:tcPr>
            <w:tcW w:w="11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22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开展执法调研和专题调研</w:t>
            </w:r>
          </w:p>
        </w:tc>
        <w:tc>
          <w:tcPr>
            <w:tcW w:w="21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大于等于20</w:t>
            </w:r>
            <w:r>
              <w:rPr>
                <w:rStyle w:val="31"/>
                <w:b/>
                <w:bCs/>
                <w:lang w:val="en-US" w:eastAsia="zh-CN" w:bidi="ar"/>
              </w:rPr>
              <w:t>次</w:t>
            </w:r>
          </w:p>
        </w:tc>
        <w:tc>
          <w:tcPr>
            <w:tcW w:w="21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大于20</w:t>
            </w:r>
            <w:r>
              <w:rPr>
                <w:rStyle w:val="31"/>
                <w:b/>
                <w:bCs/>
                <w:lang w:val="en-US" w:eastAsia="zh-CN" w:bidi="ar"/>
              </w:rPr>
              <w:t>次</w:t>
            </w:r>
          </w:p>
        </w:tc>
      </w:tr>
      <w:tr>
        <w:tblPrEx>
          <w:tblCellMar>
            <w:top w:w="0" w:type="dxa"/>
            <w:left w:w="108" w:type="dxa"/>
            <w:bottom w:w="0" w:type="dxa"/>
            <w:right w:w="108" w:type="dxa"/>
          </w:tblCellMar>
        </w:tblPrEx>
        <w:trPr>
          <w:trHeight w:val="640" w:hRule="atLeast"/>
          <w:jc w:val="center"/>
        </w:trPr>
        <w:tc>
          <w:tcPr>
            <w:tcW w:w="11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22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strike/>
                <w:dstrike w:val="0"/>
                <w:color w:val="auto"/>
                <w:sz w:val="20"/>
                <w:szCs w:val="20"/>
                <w:highlight w:val="yellow"/>
              </w:rPr>
            </w:pPr>
            <w:r>
              <w:rPr>
                <w:rFonts w:hint="default" w:ascii="Times New Roman" w:hAnsi="Times New Roman" w:eastAsia="宋体" w:cs="Times New Roman"/>
                <w:b/>
                <w:bCs/>
                <w:i w:val="0"/>
                <w:iCs w:val="0"/>
                <w:color w:val="000000"/>
                <w:kern w:val="0"/>
                <w:sz w:val="20"/>
                <w:szCs w:val="20"/>
                <w:u w:val="none"/>
                <w:lang w:val="en-US" w:eastAsia="zh-CN" w:bidi="ar"/>
              </w:rPr>
              <w:t>开展常委会执法检查</w:t>
            </w:r>
          </w:p>
        </w:tc>
        <w:tc>
          <w:tcPr>
            <w:tcW w:w="21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strike/>
                <w:dstrike w:val="0"/>
                <w:color w:val="auto"/>
                <w:sz w:val="20"/>
                <w:szCs w:val="20"/>
                <w:highlight w:val="yellow"/>
              </w:rPr>
            </w:pPr>
            <w:r>
              <w:rPr>
                <w:rFonts w:hint="default" w:ascii="Times New Roman" w:hAnsi="Times New Roman" w:eastAsia="宋体" w:cs="Times New Roman"/>
                <w:b/>
                <w:bCs/>
                <w:i w:val="0"/>
                <w:iCs w:val="0"/>
                <w:color w:val="000000"/>
                <w:kern w:val="0"/>
                <w:sz w:val="20"/>
                <w:szCs w:val="20"/>
                <w:u w:val="none"/>
                <w:lang w:val="en-US" w:eastAsia="zh-CN" w:bidi="ar"/>
              </w:rPr>
              <w:t>大于等于6</w:t>
            </w:r>
            <w:r>
              <w:rPr>
                <w:rStyle w:val="31"/>
                <w:b/>
                <w:bCs/>
                <w:lang w:val="en-US" w:eastAsia="zh-CN" w:bidi="ar"/>
              </w:rPr>
              <w:t>次</w:t>
            </w:r>
          </w:p>
        </w:tc>
        <w:tc>
          <w:tcPr>
            <w:tcW w:w="21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eastAsia="宋体"/>
                <w:b/>
                <w:bCs/>
                <w:strike/>
                <w:dstrike w:val="0"/>
                <w:color w:val="auto"/>
                <w:sz w:val="20"/>
                <w:szCs w:val="20"/>
                <w:highlight w:val="yellow"/>
                <w:lang w:eastAsia="zh-CN"/>
              </w:rPr>
            </w:pPr>
            <w:r>
              <w:rPr>
                <w:rFonts w:hint="default" w:ascii="Times New Roman" w:hAnsi="Times New Roman" w:eastAsia="宋体" w:cs="Times New Roman"/>
                <w:b/>
                <w:bCs/>
                <w:i w:val="0"/>
                <w:iCs w:val="0"/>
                <w:color w:val="000000"/>
                <w:kern w:val="0"/>
                <w:sz w:val="20"/>
                <w:szCs w:val="20"/>
                <w:u w:val="none"/>
                <w:lang w:val="en-US" w:eastAsia="zh-CN" w:bidi="ar"/>
              </w:rPr>
              <w:t>大于6</w:t>
            </w:r>
            <w:r>
              <w:rPr>
                <w:rStyle w:val="31"/>
                <w:b/>
                <w:bCs/>
                <w:lang w:val="en-US" w:eastAsia="zh-CN" w:bidi="ar"/>
              </w:rPr>
              <w:t>次</w:t>
            </w:r>
          </w:p>
        </w:tc>
      </w:tr>
      <w:tr>
        <w:tblPrEx>
          <w:tblCellMar>
            <w:top w:w="0" w:type="dxa"/>
            <w:left w:w="108" w:type="dxa"/>
            <w:bottom w:w="0" w:type="dxa"/>
            <w:right w:w="108" w:type="dxa"/>
          </w:tblCellMar>
        </w:tblPrEx>
        <w:trPr>
          <w:trHeight w:val="400" w:hRule="atLeast"/>
          <w:jc w:val="center"/>
        </w:trPr>
        <w:tc>
          <w:tcPr>
            <w:tcW w:w="11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22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完成调研报告</w:t>
            </w:r>
          </w:p>
        </w:tc>
        <w:tc>
          <w:tcPr>
            <w:tcW w:w="21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大于等于10</w:t>
            </w:r>
            <w:r>
              <w:rPr>
                <w:rStyle w:val="31"/>
                <w:b/>
                <w:bCs/>
                <w:lang w:val="en-US" w:eastAsia="zh-CN" w:bidi="ar"/>
              </w:rPr>
              <w:t>篇</w:t>
            </w:r>
          </w:p>
        </w:tc>
        <w:tc>
          <w:tcPr>
            <w:tcW w:w="21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大于10</w:t>
            </w:r>
            <w:r>
              <w:rPr>
                <w:rStyle w:val="31"/>
                <w:b/>
                <w:bCs/>
                <w:lang w:val="en-US" w:eastAsia="zh-CN" w:bidi="ar"/>
              </w:rPr>
              <w:t>篇</w:t>
            </w:r>
          </w:p>
        </w:tc>
      </w:tr>
      <w:tr>
        <w:tblPrEx>
          <w:tblCellMar>
            <w:top w:w="0" w:type="dxa"/>
            <w:left w:w="108" w:type="dxa"/>
            <w:bottom w:w="0" w:type="dxa"/>
            <w:right w:w="108" w:type="dxa"/>
          </w:tblCellMar>
        </w:tblPrEx>
        <w:trPr>
          <w:trHeight w:val="380" w:hRule="atLeast"/>
          <w:jc w:val="center"/>
        </w:trPr>
        <w:tc>
          <w:tcPr>
            <w:tcW w:w="11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质量指标</w:t>
            </w:r>
          </w:p>
        </w:tc>
        <w:tc>
          <w:tcPr>
            <w:tcW w:w="22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立法工作、监督工作、调查研究工作完成率</w:t>
            </w:r>
          </w:p>
        </w:tc>
        <w:tc>
          <w:tcPr>
            <w:tcW w:w="21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大于等于95%</w:t>
            </w:r>
          </w:p>
        </w:tc>
        <w:tc>
          <w:tcPr>
            <w:tcW w:w="21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620" w:hRule="atLeast"/>
          <w:jc w:val="center"/>
        </w:trPr>
        <w:tc>
          <w:tcPr>
            <w:tcW w:w="11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时效指标</w:t>
            </w:r>
          </w:p>
        </w:tc>
        <w:tc>
          <w:tcPr>
            <w:tcW w:w="22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完成时间</w:t>
            </w:r>
          </w:p>
        </w:tc>
        <w:tc>
          <w:tcPr>
            <w:tcW w:w="21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2020年12月</w:t>
            </w:r>
          </w:p>
        </w:tc>
        <w:tc>
          <w:tcPr>
            <w:tcW w:w="21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2020年12月</w:t>
            </w:r>
          </w:p>
        </w:tc>
      </w:tr>
      <w:tr>
        <w:tblPrEx>
          <w:tblCellMar>
            <w:top w:w="0" w:type="dxa"/>
            <w:left w:w="108" w:type="dxa"/>
            <w:bottom w:w="0" w:type="dxa"/>
            <w:right w:w="108" w:type="dxa"/>
          </w:tblCellMar>
        </w:tblPrEx>
        <w:trPr>
          <w:trHeight w:val="320" w:hRule="atLeast"/>
          <w:jc w:val="center"/>
        </w:trPr>
        <w:tc>
          <w:tcPr>
            <w:tcW w:w="11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成本指标</w:t>
            </w:r>
          </w:p>
        </w:tc>
        <w:tc>
          <w:tcPr>
            <w:tcW w:w="22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经费开支额度</w:t>
            </w:r>
          </w:p>
        </w:tc>
        <w:tc>
          <w:tcPr>
            <w:tcW w:w="21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预算内执行进度大于等于95%</w:t>
            </w:r>
          </w:p>
        </w:tc>
        <w:tc>
          <w:tcPr>
            <w:tcW w:w="21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预算执行率98.7%</w:t>
            </w:r>
          </w:p>
        </w:tc>
      </w:tr>
      <w:tr>
        <w:tblPrEx>
          <w:tblCellMar>
            <w:top w:w="0" w:type="dxa"/>
            <w:left w:w="108" w:type="dxa"/>
            <w:bottom w:w="0" w:type="dxa"/>
            <w:right w:w="108" w:type="dxa"/>
          </w:tblCellMar>
        </w:tblPrEx>
        <w:trPr>
          <w:trHeight w:val="520" w:hRule="atLeast"/>
          <w:jc w:val="center"/>
        </w:trPr>
        <w:tc>
          <w:tcPr>
            <w:tcW w:w="11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3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eastAsia" w:ascii="宋体" w:hAnsi="宋体" w:eastAsia="宋体" w:cs="宋体"/>
                <w:b/>
                <w:bCs/>
                <w:i w:val="0"/>
                <w:iCs w:val="0"/>
                <w:color w:val="000000"/>
                <w:kern w:val="0"/>
                <w:sz w:val="20"/>
                <w:szCs w:val="20"/>
                <w:u w:val="none"/>
                <w:lang w:val="en-US" w:eastAsia="zh-CN" w:bidi="ar"/>
              </w:rPr>
              <w:t>效益指标</w:t>
            </w:r>
          </w:p>
        </w:tc>
        <w:tc>
          <w:tcPr>
            <w:tcW w:w="11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eastAsia" w:ascii="宋体" w:hAnsi="宋体" w:eastAsia="宋体" w:cs="宋体"/>
                <w:b/>
                <w:bCs/>
                <w:i w:val="0"/>
                <w:iCs w:val="0"/>
                <w:color w:val="000000"/>
                <w:kern w:val="0"/>
                <w:sz w:val="20"/>
                <w:szCs w:val="20"/>
                <w:u w:val="none"/>
                <w:lang w:val="en-US" w:eastAsia="zh-CN" w:bidi="ar"/>
              </w:rPr>
              <w:t>经济效益指标</w:t>
            </w:r>
          </w:p>
        </w:tc>
        <w:tc>
          <w:tcPr>
            <w:tcW w:w="2263"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b/>
                <w:bCs/>
                <w:color w:val="auto"/>
                <w:sz w:val="20"/>
                <w:szCs w:val="20"/>
              </w:rPr>
            </w:pPr>
          </w:p>
        </w:tc>
        <w:tc>
          <w:tcPr>
            <w:tcW w:w="21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21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r>
      <w:tr>
        <w:tblPrEx>
          <w:tblCellMar>
            <w:top w:w="0" w:type="dxa"/>
            <w:left w:w="108" w:type="dxa"/>
            <w:bottom w:w="0" w:type="dxa"/>
            <w:right w:w="108" w:type="dxa"/>
          </w:tblCellMar>
        </w:tblPrEx>
        <w:trPr>
          <w:trHeight w:val="480" w:hRule="atLeast"/>
          <w:jc w:val="center"/>
        </w:trPr>
        <w:tc>
          <w:tcPr>
            <w:tcW w:w="11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eastAsia" w:ascii="宋体" w:hAnsi="宋体" w:eastAsia="宋体" w:cs="宋体"/>
                <w:b/>
                <w:bCs/>
                <w:i w:val="0"/>
                <w:iCs w:val="0"/>
                <w:color w:val="000000"/>
                <w:kern w:val="0"/>
                <w:sz w:val="20"/>
                <w:szCs w:val="20"/>
                <w:u w:val="none"/>
                <w:lang w:val="en-US" w:eastAsia="zh-CN" w:bidi="ar"/>
              </w:rPr>
              <w:t>社会效益指标</w:t>
            </w:r>
          </w:p>
        </w:tc>
        <w:tc>
          <w:tcPr>
            <w:tcW w:w="22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对工作的促进作用</w:t>
            </w:r>
          </w:p>
        </w:tc>
        <w:tc>
          <w:tcPr>
            <w:tcW w:w="21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提高部门工作效率和监督执法的公正性，权威性</w:t>
            </w:r>
          </w:p>
        </w:tc>
        <w:tc>
          <w:tcPr>
            <w:tcW w:w="21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督促提高</w:t>
            </w:r>
            <w:r>
              <w:rPr>
                <w:rStyle w:val="31"/>
                <w:b/>
                <w:bCs/>
                <w:lang w:val="en-US" w:eastAsia="zh-CN" w:bidi="ar"/>
              </w:rPr>
              <w:t>了</w:t>
            </w:r>
            <w:r>
              <w:rPr>
                <w:rStyle w:val="32"/>
                <w:rFonts w:eastAsia="宋体"/>
                <w:b/>
                <w:bCs/>
                <w:lang w:val="en-US" w:eastAsia="zh-CN" w:bidi="ar"/>
              </w:rPr>
              <w:t>部门行政和执法的公正性和权威性</w:t>
            </w:r>
          </w:p>
        </w:tc>
      </w:tr>
      <w:tr>
        <w:tblPrEx>
          <w:tblCellMar>
            <w:top w:w="0" w:type="dxa"/>
            <w:left w:w="108" w:type="dxa"/>
            <w:bottom w:w="0" w:type="dxa"/>
            <w:right w:w="108" w:type="dxa"/>
          </w:tblCellMar>
        </w:tblPrEx>
        <w:trPr>
          <w:trHeight w:val="760" w:hRule="atLeast"/>
          <w:jc w:val="center"/>
        </w:trPr>
        <w:tc>
          <w:tcPr>
            <w:tcW w:w="11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eastAsia" w:ascii="宋体" w:hAnsi="宋体" w:eastAsia="宋体" w:cs="宋体"/>
                <w:b/>
                <w:bCs/>
                <w:i w:val="0"/>
                <w:iCs w:val="0"/>
                <w:color w:val="000000"/>
                <w:kern w:val="0"/>
                <w:sz w:val="20"/>
                <w:szCs w:val="20"/>
                <w:u w:val="none"/>
                <w:lang w:val="en-US" w:eastAsia="zh-CN" w:bidi="ar"/>
              </w:rPr>
              <w:t>生态效益指标</w:t>
            </w:r>
          </w:p>
        </w:tc>
        <w:tc>
          <w:tcPr>
            <w:tcW w:w="2263"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b/>
                <w:bCs/>
                <w:color w:val="auto"/>
                <w:sz w:val="20"/>
                <w:szCs w:val="20"/>
              </w:rPr>
            </w:pPr>
          </w:p>
        </w:tc>
        <w:tc>
          <w:tcPr>
            <w:tcW w:w="21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21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r>
      <w:tr>
        <w:tblPrEx>
          <w:tblCellMar>
            <w:top w:w="0" w:type="dxa"/>
            <w:left w:w="108" w:type="dxa"/>
            <w:bottom w:w="0" w:type="dxa"/>
            <w:right w:w="108" w:type="dxa"/>
          </w:tblCellMar>
        </w:tblPrEx>
        <w:trPr>
          <w:trHeight w:val="480" w:hRule="atLeast"/>
          <w:jc w:val="center"/>
        </w:trPr>
        <w:tc>
          <w:tcPr>
            <w:tcW w:w="11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可持续影响指标</w:t>
            </w:r>
          </w:p>
        </w:tc>
        <w:tc>
          <w:tcPr>
            <w:tcW w:w="22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产生的影响</w:t>
            </w:r>
          </w:p>
        </w:tc>
        <w:tc>
          <w:tcPr>
            <w:tcW w:w="21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长期持续</w:t>
            </w:r>
          </w:p>
        </w:tc>
        <w:tc>
          <w:tcPr>
            <w:tcW w:w="21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b/>
                <w:bCs/>
                <w:color w:val="auto"/>
                <w:sz w:val="20"/>
                <w:szCs w:val="20"/>
              </w:rPr>
            </w:pPr>
            <w:r>
              <w:rPr>
                <w:rFonts w:hint="default" w:ascii="Times New Roman" w:hAnsi="Times New Roman" w:eastAsia="宋体" w:cs="Times New Roman"/>
                <w:b/>
                <w:bCs/>
                <w:i w:val="0"/>
                <w:iCs w:val="0"/>
                <w:color w:val="000000"/>
                <w:kern w:val="0"/>
                <w:sz w:val="20"/>
                <w:szCs w:val="20"/>
                <w:u w:val="none"/>
                <w:lang w:val="en-US" w:eastAsia="zh-CN" w:bidi="ar"/>
              </w:rPr>
              <w:t>长期持续</w:t>
            </w:r>
          </w:p>
        </w:tc>
      </w:tr>
      <w:tr>
        <w:tblPrEx>
          <w:tblCellMar>
            <w:top w:w="0" w:type="dxa"/>
            <w:left w:w="108" w:type="dxa"/>
            <w:bottom w:w="0" w:type="dxa"/>
            <w:right w:w="108" w:type="dxa"/>
          </w:tblCellMar>
        </w:tblPrEx>
        <w:trPr>
          <w:trHeight w:val="480" w:hRule="atLeast"/>
          <w:jc w:val="center"/>
        </w:trPr>
        <w:tc>
          <w:tcPr>
            <w:tcW w:w="11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满意度</w:t>
            </w:r>
          </w:p>
          <w:p>
            <w:pPr>
              <w:keepNext w:val="0"/>
              <w:keepLines w:val="0"/>
              <w:widowControl/>
              <w:suppressLineNumbers w:val="0"/>
              <w:jc w:val="center"/>
              <w:textAlignment w:val="center"/>
              <w:rPr>
                <w:b/>
                <w:bCs/>
                <w:color w:val="auto"/>
                <w:sz w:val="20"/>
                <w:szCs w:val="20"/>
              </w:rPr>
            </w:pPr>
            <w:r>
              <w:rPr>
                <w:rFonts w:hint="eastAsia" w:ascii="宋体" w:hAnsi="宋体" w:eastAsia="宋体" w:cs="宋体"/>
                <w:b/>
                <w:bCs/>
                <w:i w:val="0"/>
                <w:iCs w:val="0"/>
                <w:color w:val="000000"/>
                <w:kern w:val="0"/>
                <w:sz w:val="20"/>
                <w:szCs w:val="20"/>
                <w:u w:val="none"/>
                <w:lang w:val="en-US" w:eastAsia="zh-CN" w:bidi="ar"/>
              </w:rPr>
              <w:t>指标</w:t>
            </w:r>
          </w:p>
        </w:tc>
        <w:tc>
          <w:tcPr>
            <w:tcW w:w="11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满意度</w:t>
            </w:r>
          </w:p>
          <w:p>
            <w:pPr>
              <w:keepNext w:val="0"/>
              <w:keepLines w:val="0"/>
              <w:widowControl/>
              <w:suppressLineNumbers w:val="0"/>
              <w:jc w:val="center"/>
              <w:textAlignment w:val="center"/>
              <w:rPr>
                <w:b/>
                <w:bCs/>
                <w:color w:val="auto"/>
                <w:sz w:val="20"/>
                <w:szCs w:val="20"/>
              </w:rPr>
            </w:pPr>
            <w:r>
              <w:rPr>
                <w:rFonts w:hint="eastAsia" w:ascii="宋体" w:hAnsi="宋体" w:eastAsia="宋体" w:cs="宋体"/>
                <w:b/>
                <w:bCs/>
                <w:i w:val="0"/>
                <w:iCs w:val="0"/>
                <w:color w:val="000000"/>
                <w:kern w:val="0"/>
                <w:sz w:val="20"/>
                <w:szCs w:val="20"/>
                <w:u w:val="none"/>
                <w:lang w:val="en-US" w:eastAsia="zh-CN" w:bidi="ar"/>
              </w:rPr>
              <w:t>指标</w:t>
            </w:r>
          </w:p>
        </w:tc>
        <w:tc>
          <w:tcPr>
            <w:tcW w:w="2263"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b/>
                <w:bCs/>
                <w:color w:val="auto"/>
                <w:sz w:val="20"/>
                <w:szCs w:val="20"/>
              </w:rPr>
            </w:pPr>
          </w:p>
        </w:tc>
        <w:tc>
          <w:tcPr>
            <w:tcW w:w="21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21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b/>
                <w:bCs/>
                <w:color w:val="auto"/>
                <w:sz w:val="20"/>
                <w:szCs w:val="20"/>
              </w:rPr>
            </w:pPr>
          </w:p>
        </w:tc>
      </w:tr>
    </w:tbl>
    <w:tbl>
      <w:tblPr>
        <w:tblStyle w:val="12"/>
        <w:tblpPr w:leftFromText="180" w:rightFromText="180" w:vertAnchor="text" w:horzAnchor="page" w:tblpX="1242" w:tblpY="339"/>
        <w:tblOverlap w:val="never"/>
        <w:tblW w:w="9705" w:type="dxa"/>
        <w:tblInd w:w="0" w:type="dxa"/>
        <w:tblLayout w:type="autofit"/>
        <w:tblCellMar>
          <w:top w:w="0" w:type="dxa"/>
          <w:left w:w="108" w:type="dxa"/>
          <w:bottom w:w="0" w:type="dxa"/>
          <w:right w:w="108" w:type="dxa"/>
        </w:tblCellMar>
      </w:tblPr>
      <w:tblGrid>
        <w:gridCol w:w="1140"/>
        <w:gridCol w:w="1155"/>
        <w:gridCol w:w="1200"/>
        <w:gridCol w:w="825"/>
        <w:gridCol w:w="1395"/>
        <w:gridCol w:w="1965"/>
        <w:gridCol w:w="2025"/>
      </w:tblGrid>
      <w:tr>
        <w:tblPrEx>
          <w:tblCellMar>
            <w:top w:w="0" w:type="dxa"/>
            <w:left w:w="108" w:type="dxa"/>
            <w:bottom w:w="0" w:type="dxa"/>
            <w:right w:w="108" w:type="dxa"/>
          </w:tblCellMar>
        </w:tblPrEx>
        <w:trPr>
          <w:trHeight w:val="360" w:hRule="atLeast"/>
        </w:trPr>
        <w:tc>
          <w:tcPr>
            <w:tcW w:w="9705" w:type="dxa"/>
            <w:gridSpan w:val="7"/>
            <w:tcBorders>
              <w:top w:val="nil"/>
              <w:left w:val="nil"/>
              <w:bottom w:val="nil"/>
              <w:right w:val="nil"/>
            </w:tcBorders>
            <w:shd w:val="clear" w:color="auto" w:fill="auto"/>
            <w:vAlign w:val="center"/>
          </w:tcPr>
          <w:p>
            <w:pPr>
              <w:widowControl/>
              <w:jc w:val="center"/>
              <w:textAlignment w:val="center"/>
              <w:rPr>
                <w:b/>
                <w:bCs/>
                <w:color w:val="auto"/>
                <w:sz w:val="32"/>
                <w:szCs w:val="32"/>
              </w:rPr>
            </w:pPr>
            <w:r>
              <w:rPr>
                <w:b/>
                <w:bCs/>
                <w:color w:val="auto"/>
                <w:kern w:val="0"/>
                <w:sz w:val="32"/>
                <w:szCs w:val="32"/>
                <w:lang w:bidi="ar"/>
              </w:rPr>
              <w:t>项目支出绩效自评表</w:t>
            </w:r>
          </w:p>
        </w:tc>
      </w:tr>
      <w:tr>
        <w:tblPrEx>
          <w:tblCellMar>
            <w:top w:w="0" w:type="dxa"/>
            <w:left w:w="108" w:type="dxa"/>
            <w:bottom w:w="0" w:type="dxa"/>
            <w:right w:w="108" w:type="dxa"/>
          </w:tblCellMar>
        </w:tblPrEx>
        <w:trPr>
          <w:trHeight w:val="360" w:hRule="atLeast"/>
        </w:trPr>
        <w:tc>
          <w:tcPr>
            <w:tcW w:w="9705" w:type="dxa"/>
            <w:gridSpan w:val="7"/>
            <w:tcBorders>
              <w:top w:val="nil"/>
              <w:left w:val="nil"/>
              <w:bottom w:val="nil"/>
              <w:right w:val="nil"/>
            </w:tcBorders>
            <w:shd w:val="clear" w:color="auto" w:fill="auto"/>
            <w:vAlign w:val="center"/>
          </w:tcPr>
          <w:p>
            <w:pPr>
              <w:widowControl/>
              <w:jc w:val="center"/>
              <w:textAlignment w:val="center"/>
              <w:rPr>
                <w:b/>
                <w:bCs/>
                <w:color w:val="auto"/>
                <w:sz w:val="24"/>
              </w:rPr>
            </w:pPr>
            <w:r>
              <w:rPr>
                <w:b/>
                <w:bCs/>
                <w:color w:val="auto"/>
                <w:kern w:val="0"/>
                <w:sz w:val="24"/>
                <w:lang w:bidi="ar"/>
              </w:rPr>
              <w:t>（2020年度）</w:t>
            </w:r>
          </w:p>
        </w:tc>
      </w:tr>
      <w:tr>
        <w:tblPrEx>
          <w:tblCellMar>
            <w:top w:w="0" w:type="dxa"/>
            <w:left w:w="108" w:type="dxa"/>
            <w:bottom w:w="0" w:type="dxa"/>
            <w:right w:w="108" w:type="dxa"/>
          </w:tblCellMar>
        </w:tblPrEx>
        <w:trPr>
          <w:trHeight w:val="320" w:hRule="atLeast"/>
        </w:trPr>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项目名称</w:t>
            </w:r>
          </w:p>
        </w:tc>
        <w:tc>
          <w:tcPr>
            <w:tcW w:w="74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立法经费</w:t>
            </w:r>
          </w:p>
        </w:tc>
      </w:tr>
      <w:tr>
        <w:tblPrEx>
          <w:tblCellMar>
            <w:top w:w="0" w:type="dxa"/>
            <w:left w:w="108" w:type="dxa"/>
            <w:bottom w:w="0" w:type="dxa"/>
            <w:right w:w="108" w:type="dxa"/>
          </w:tblCellMar>
        </w:tblPrEx>
        <w:trPr>
          <w:trHeight w:val="560" w:hRule="atLeast"/>
        </w:trPr>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主管部门及代码</w:t>
            </w:r>
          </w:p>
        </w:tc>
        <w:tc>
          <w:tcPr>
            <w:tcW w:w="3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四川省人民代表大会</w:t>
            </w:r>
            <w:r>
              <w:rPr>
                <w:b/>
                <w:bCs/>
                <w:color w:val="auto"/>
                <w:kern w:val="0"/>
                <w:sz w:val="20"/>
                <w:szCs w:val="20"/>
                <w:lang w:bidi="ar"/>
              </w:rPr>
              <w:br w:type="textWrapping"/>
            </w:r>
            <w:r>
              <w:rPr>
                <w:b/>
                <w:bCs/>
                <w:color w:val="auto"/>
                <w:kern w:val="0"/>
                <w:sz w:val="20"/>
                <w:szCs w:val="20"/>
                <w:lang w:bidi="ar"/>
              </w:rPr>
              <w:t>常务委员会办公厅</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实施单位</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四川省人民代表大会常务委员会办公厅</w:t>
            </w:r>
          </w:p>
        </w:tc>
      </w:tr>
      <w:tr>
        <w:tblPrEx>
          <w:tblCellMar>
            <w:top w:w="0" w:type="dxa"/>
            <w:left w:w="108" w:type="dxa"/>
            <w:bottom w:w="0" w:type="dxa"/>
            <w:right w:w="108" w:type="dxa"/>
          </w:tblCellMar>
        </w:tblPrEx>
        <w:trPr>
          <w:trHeight w:val="340" w:hRule="atLeast"/>
        </w:trPr>
        <w:tc>
          <w:tcPr>
            <w:tcW w:w="22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项目预算</w:t>
            </w:r>
            <w:r>
              <w:rPr>
                <w:b/>
                <w:bCs/>
                <w:color w:val="auto"/>
                <w:kern w:val="0"/>
                <w:sz w:val="20"/>
                <w:szCs w:val="20"/>
                <w:lang w:bidi="ar"/>
              </w:rPr>
              <w:br w:type="textWrapping"/>
            </w:r>
            <w:r>
              <w:rPr>
                <w:b/>
                <w:bCs/>
                <w:color w:val="auto"/>
                <w:kern w:val="0"/>
                <w:sz w:val="20"/>
                <w:szCs w:val="20"/>
                <w:lang w:bidi="ar"/>
              </w:rPr>
              <w:t>执行情况</w:t>
            </w:r>
            <w:r>
              <w:rPr>
                <w:b/>
                <w:bCs/>
                <w:color w:val="auto"/>
                <w:kern w:val="0"/>
                <w:sz w:val="20"/>
                <w:szCs w:val="20"/>
                <w:lang w:bidi="ar"/>
              </w:rPr>
              <w:br w:type="textWrapping"/>
            </w:r>
            <w:r>
              <w:rPr>
                <w:b/>
                <w:bCs/>
                <w:color w:val="auto"/>
                <w:kern w:val="0"/>
                <w:sz w:val="20"/>
                <w:szCs w:val="20"/>
                <w:lang w:bidi="ar"/>
              </w:rPr>
              <w:t>（万元）</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0"/>
                <w:szCs w:val="20"/>
              </w:rPr>
            </w:pPr>
            <w:r>
              <w:rPr>
                <w:b/>
                <w:bCs/>
                <w:color w:val="auto"/>
                <w:kern w:val="0"/>
                <w:sz w:val="20"/>
                <w:szCs w:val="20"/>
                <w:lang w:bidi="ar"/>
              </w:rPr>
              <w:t>预算数：</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218.98</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0"/>
                <w:szCs w:val="20"/>
              </w:rPr>
            </w:pPr>
            <w:r>
              <w:rPr>
                <w:b/>
                <w:bCs/>
                <w:color w:val="auto"/>
                <w:kern w:val="0"/>
                <w:sz w:val="20"/>
                <w:szCs w:val="20"/>
                <w:lang w:bidi="ar"/>
              </w:rPr>
              <w:t>执行数：</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209.77</w:t>
            </w:r>
          </w:p>
        </w:tc>
      </w:tr>
      <w:tr>
        <w:tblPrEx>
          <w:tblCellMar>
            <w:top w:w="0" w:type="dxa"/>
            <w:left w:w="108" w:type="dxa"/>
            <w:bottom w:w="0" w:type="dxa"/>
            <w:right w:w="108" w:type="dxa"/>
          </w:tblCellMar>
        </w:tblPrEx>
        <w:trPr>
          <w:trHeight w:val="340" w:hRule="atLeast"/>
        </w:trPr>
        <w:tc>
          <w:tcPr>
            <w:tcW w:w="22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0"/>
                <w:szCs w:val="20"/>
              </w:rPr>
            </w:pPr>
            <w:r>
              <w:rPr>
                <w:b/>
                <w:bCs/>
                <w:color w:val="auto"/>
                <w:kern w:val="0"/>
                <w:sz w:val="20"/>
                <w:szCs w:val="20"/>
                <w:lang w:bidi="ar"/>
              </w:rPr>
              <w:t>其中：财政拨款</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218.98</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0"/>
                <w:szCs w:val="20"/>
              </w:rPr>
            </w:pPr>
            <w:r>
              <w:rPr>
                <w:b/>
                <w:bCs/>
                <w:color w:val="auto"/>
                <w:kern w:val="0"/>
                <w:sz w:val="20"/>
                <w:szCs w:val="20"/>
                <w:lang w:bidi="ar"/>
              </w:rPr>
              <w:t>其中：财政拨款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209.77</w:t>
            </w:r>
          </w:p>
        </w:tc>
      </w:tr>
      <w:tr>
        <w:tblPrEx>
          <w:tblCellMar>
            <w:top w:w="0" w:type="dxa"/>
            <w:left w:w="108" w:type="dxa"/>
            <w:bottom w:w="0" w:type="dxa"/>
            <w:right w:w="108" w:type="dxa"/>
          </w:tblCellMar>
        </w:tblPrEx>
        <w:trPr>
          <w:trHeight w:val="340" w:hRule="atLeast"/>
        </w:trPr>
        <w:tc>
          <w:tcPr>
            <w:tcW w:w="22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0"/>
                <w:szCs w:val="20"/>
              </w:rPr>
            </w:pPr>
            <w:r>
              <w:rPr>
                <w:b/>
                <w:bCs/>
                <w:color w:val="auto"/>
                <w:kern w:val="0"/>
                <w:sz w:val="20"/>
                <w:szCs w:val="20"/>
                <w:lang w:bidi="ar"/>
              </w:rPr>
              <w:t>其他资金</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0</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0"/>
                <w:szCs w:val="20"/>
              </w:rPr>
            </w:pPr>
            <w:r>
              <w:rPr>
                <w:b/>
                <w:bCs/>
                <w:color w:val="auto"/>
                <w:kern w:val="0"/>
                <w:sz w:val="20"/>
                <w:szCs w:val="20"/>
                <w:lang w:bidi="ar"/>
              </w:rPr>
              <w:t>其他资金</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0</w:t>
            </w:r>
          </w:p>
        </w:tc>
      </w:tr>
      <w:tr>
        <w:tblPrEx>
          <w:tblCellMar>
            <w:top w:w="0" w:type="dxa"/>
            <w:left w:w="108" w:type="dxa"/>
            <w:bottom w:w="0" w:type="dxa"/>
            <w:right w:w="108" w:type="dxa"/>
          </w:tblCellMar>
        </w:tblPrEx>
        <w:trPr>
          <w:trHeight w:val="360" w:hRule="atLeast"/>
        </w:trPr>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年度总体目标完成情况</w:t>
            </w:r>
          </w:p>
        </w:tc>
        <w:tc>
          <w:tcPr>
            <w:tcW w:w="45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预期目标</w:t>
            </w:r>
          </w:p>
        </w:tc>
        <w:tc>
          <w:tcPr>
            <w:tcW w:w="3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目标实际完成情况</w:t>
            </w:r>
          </w:p>
        </w:tc>
      </w:tr>
      <w:tr>
        <w:tblPrEx>
          <w:tblCellMar>
            <w:top w:w="0" w:type="dxa"/>
            <w:left w:w="108" w:type="dxa"/>
            <w:bottom w:w="0" w:type="dxa"/>
            <w:right w:w="108" w:type="dxa"/>
          </w:tblCellMar>
        </w:tblPrEx>
        <w:trPr>
          <w:trHeight w:val="132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45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0"/>
                <w:szCs w:val="20"/>
              </w:rPr>
            </w:pPr>
            <w:r>
              <w:rPr>
                <w:b/>
                <w:bCs/>
                <w:color w:val="auto"/>
                <w:kern w:val="0"/>
                <w:sz w:val="20"/>
                <w:szCs w:val="20"/>
                <w:lang w:bidi="ar"/>
              </w:rPr>
              <w:t>加强重点、民生领域立法，做好法规、规章、规范性文件的修改废止工作，健全立法工作机制，提高立法质量，推进科学立法、民主立法、依法立法，为治蜀兴川提供有力法治保障。</w:t>
            </w:r>
          </w:p>
        </w:tc>
        <w:tc>
          <w:tcPr>
            <w:tcW w:w="3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0"/>
                <w:szCs w:val="20"/>
              </w:rPr>
            </w:pPr>
            <w:r>
              <w:rPr>
                <w:b/>
                <w:bCs/>
                <w:color w:val="auto"/>
                <w:kern w:val="0"/>
                <w:sz w:val="20"/>
                <w:szCs w:val="20"/>
                <w:lang w:bidi="ar"/>
              </w:rPr>
              <w:t>实现了预期目标：加强重点、民生领域立法，做好了法规、规章、规范性文件的修改废止工作，健全了立法工作机制，提高了立法质量，推进了科学立法、民主立法、依法立法，为治蜀兴川提供有力法治保障。</w:t>
            </w:r>
          </w:p>
        </w:tc>
      </w:tr>
      <w:tr>
        <w:tblPrEx>
          <w:tblCellMar>
            <w:top w:w="0" w:type="dxa"/>
            <w:left w:w="108" w:type="dxa"/>
            <w:bottom w:w="0" w:type="dxa"/>
            <w:right w:w="108" w:type="dxa"/>
          </w:tblCellMar>
        </w:tblPrEx>
        <w:trPr>
          <w:trHeight w:val="360" w:hRule="atLeast"/>
        </w:trPr>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年度绩效指标完成情况</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一级指标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二级指标</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三级指标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预期指标值</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实际完成指标值</w:t>
            </w:r>
          </w:p>
        </w:tc>
      </w:tr>
      <w:tr>
        <w:tblPrEx>
          <w:tblCellMar>
            <w:top w:w="0" w:type="dxa"/>
            <w:left w:w="108" w:type="dxa"/>
            <w:bottom w:w="0" w:type="dxa"/>
            <w:right w:w="108" w:type="dxa"/>
          </w:tblCellMar>
        </w:tblPrEx>
        <w:trPr>
          <w:trHeight w:val="42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完</w:t>
            </w:r>
            <w:r>
              <w:rPr>
                <w:b/>
                <w:bCs/>
                <w:color w:val="auto"/>
                <w:kern w:val="0"/>
                <w:sz w:val="20"/>
                <w:szCs w:val="20"/>
                <w:lang w:bidi="ar"/>
              </w:rPr>
              <w:br w:type="textWrapping"/>
            </w:r>
            <w:r>
              <w:rPr>
                <w:b/>
                <w:bCs/>
                <w:color w:val="auto"/>
                <w:kern w:val="0"/>
                <w:sz w:val="20"/>
                <w:szCs w:val="20"/>
                <w:lang w:bidi="ar"/>
              </w:rPr>
              <w:t>成</w:t>
            </w:r>
            <w:r>
              <w:rPr>
                <w:b/>
                <w:bCs/>
                <w:color w:val="auto"/>
                <w:kern w:val="0"/>
                <w:sz w:val="20"/>
                <w:szCs w:val="20"/>
                <w:lang w:bidi="ar"/>
              </w:rPr>
              <w:br w:type="textWrapping"/>
            </w:r>
            <w:r>
              <w:rPr>
                <w:b/>
                <w:bCs/>
                <w:color w:val="auto"/>
                <w:kern w:val="0"/>
                <w:sz w:val="20"/>
                <w:szCs w:val="20"/>
                <w:lang w:bidi="ar"/>
              </w:rPr>
              <w:t>指</w:t>
            </w:r>
            <w:r>
              <w:rPr>
                <w:b/>
                <w:bCs/>
                <w:color w:val="auto"/>
                <w:kern w:val="0"/>
                <w:sz w:val="20"/>
                <w:szCs w:val="20"/>
                <w:lang w:bidi="ar"/>
              </w:rPr>
              <w:br w:type="textWrapping"/>
            </w:r>
            <w:r>
              <w:rPr>
                <w:b/>
                <w:bCs/>
                <w:color w:val="auto"/>
                <w:kern w:val="0"/>
                <w:sz w:val="20"/>
                <w:szCs w:val="20"/>
                <w:lang w:bidi="ar"/>
              </w:rPr>
              <w:t>标</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数量指标</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开展规范性文件备案审查</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大于等于200件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大于200件</w:t>
            </w:r>
          </w:p>
        </w:tc>
      </w:tr>
      <w:tr>
        <w:tblPrEx>
          <w:tblCellMar>
            <w:top w:w="0" w:type="dxa"/>
            <w:left w:w="108" w:type="dxa"/>
            <w:bottom w:w="0" w:type="dxa"/>
            <w:right w:w="108" w:type="dxa"/>
          </w:tblCellMar>
        </w:tblPrEx>
        <w:trPr>
          <w:trHeight w:val="54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对党内法规进行合法性</w:t>
            </w:r>
            <w:r>
              <w:rPr>
                <w:b/>
                <w:bCs/>
                <w:color w:val="auto"/>
                <w:kern w:val="0"/>
                <w:sz w:val="20"/>
                <w:szCs w:val="20"/>
                <w:lang w:bidi="ar"/>
              </w:rPr>
              <w:br w:type="textWrapping"/>
            </w:r>
            <w:r>
              <w:rPr>
                <w:b/>
                <w:bCs/>
                <w:color w:val="auto"/>
                <w:kern w:val="0"/>
                <w:sz w:val="20"/>
                <w:szCs w:val="20"/>
                <w:lang w:bidi="ar"/>
              </w:rPr>
              <w:t>审查</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大于等于60件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大于60件</w:t>
            </w:r>
          </w:p>
        </w:tc>
      </w:tr>
      <w:tr>
        <w:tblPrEx>
          <w:tblCellMar>
            <w:top w:w="0" w:type="dxa"/>
            <w:left w:w="108" w:type="dxa"/>
            <w:bottom w:w="0" w:type="dxa"/>
            <w:right w:w="108" w:type="dxa"/>
          </w:tblCellMar>
        </w:tblPrEx>
        <w:trPr>
          <w:trHeight w:val="54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质量指标</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完成2020年度立法计划</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工作完成率大于等于95%</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大于95%</w:t>
            </w:r>
          </w:p>
        </w:tc>
      </w:tr>
      <w:tr>
        <w:tblPrEx>
          <w:tblCellMar>
            <w:top w:w="0" w:type="dxa"/>
            <w:left w:w="108" w:type="dxa"/>
            <w:bottom w:w="0" w:type="dxa"/>
            <w:right w:w="108" w:type="dxa"/>
          </w:tblCellMar>
        </w:tblPrEx>
        <w:trPr>
          <w:trHeight w:val="38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时效指标</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完成时间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2020年12月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2020年12月</w:t>
            </w:r>
          </w:p>
        </w:tc>
      </w:tr>
      <w:tr>
        <w:tblPrEx>
          <w:tblCellMar>
            <w:top w:w="0" w:type="dxa"/>
            <w:left w:w="108" w:type="dxa"/>
            <w:bottom w:w="0" w:type="dxa"/>
            <w:right w:w="108" w:type="dxa"/>
          </w:tblCellMar>
        </w:tblPrEx>
        <w:trPr>
          <w:trHeight w:val="42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成本指标</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使用资金</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财政预算内</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eastAsia="宋体"/>
                <w:b/>
                <w:bCs/>
                <w:color w:val="auto"/>
                <w:sz w:val="20"/>
                <w:szCs w:val="20"/>
                <w:lang w:eastAsia="zh-CN"/>
              </w:rPr>
            </w:pPr>
            <w:r>
              <w:rPr>
                <w:b/>
                <w:bCs/>
                <w:color w:val="auto"/>
                <w:kern w:val="0"/>
                <w:sz w:val="20"/>
                <w:szCs w:val="20"/>
                <w:lang w:bidi="ar"/>
              </w:rPr>
              <w:t>209.77</w:t>
            </w:r>
            <w:r>
              <w:rPr>
                <w:rFonts w:hint="eastAsia"/>
                <w:b/>
                <w:bCs/>
                <w:color w:val="auto"/>
                <w:kern w:val="0"/>
                <w:sz w:val="20"/>
                <w:szCs w:val="20"/>
                <w:lang w:eastAsia="zh-CN" w:bidi="ar"/>
              </w:rPr>
              <w:t>万元</w:t>
            </w:r>
          </w:p>
        </w:tc>
      </w:tr>
      <w:tr>
        <w:tblPrEx>
          <w:tblCellMar>
            <w:top w:w="0" w:type="dxa"/>
            <w:left w:w="108" w:type="dxa"/>
            <w:bottom w:w="0" w:type="dxa"/>
            <w:right w:w="108" w:type="dxa"/>
          </w:tblCellMar>
        </w:tblPrEx>
        <w:trPr>
          <w:trHeight w:val="54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效</w:t>
            </w:r>
            <w:r>
              <w:rPr>
                <w:b/>
                <w:bCs/>
                <w:color w:val="auto"/>
                <w:kern w:val="0"/>
                <w:sz w:val="20"/>
                <w:szCs w:val="20"/>
                <w:lang w:bidi="ar"/>
              </w:rPr>
              <w:br w:type="textWrapping"/>
            </w:r>
            <w:r>
              <w:rPr>
                <w:b/>
                <w:bCs/>
                <w:color w:val="auto"/>
                <w:kern w:val="0"/>
                <w:sz w:val="20"/>
                <w:szCs w:val="20"/>
                <w:lang w:bidi="ar"/>
              </w:rPr>
              <w:t>益</w:t>
            </w:r>
            <w:r>
              <w:rPr>
                <w:b/>
                <w:bCs/>
                <w:color w:val="auto"/>
                <w:kern w:val="0"/>
                <w:sz w:val="20"/>
                <w:szCs w:val="20"/>
                <w:lang w:bidi="ar"/>
              </w:rPr>
              <w:br w:type="textWrapping"/>
            </w:r>
            <w:r>
              <w:rPr>
                <w:b/>
                <w:bCs/>
                <w:color w:val="auto"/>
                <w:kern w:val="0"/>
                <w:sz w:val="20"/>
                <w:szCs w:val="20"/>
                <w:lang w:bidi="ar"/>
              </w:rPr>
              <w:t>指</w:t>
            </w:r>
            <w:r>
              <w:rPr>
                <w:b/>
                <w:bCs/>
                <w:color w:val="auto"/>
                <w:kern w:val="0"/>
                <w:sz w:val="20"/>
                <w:szCs w:val="20"/>
                <w:lang w:bidi="ar"/>
              </w:rPr>
              <w:br w:type="textWrapping"/>
            </w:r>
            <w:r>
              <w:rPr>
                <w:b/>
                <w:bCs/>
                <w:color w:val="auto"/>
                <w:kern w:val="0"/>
                <w:sz w:val="20"/>
                <w:szCs w:val="20"/>
                <w:lang w:bidi="ar"/>
              </w:rPr>
              <w:t>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经济效益</w:t>
            </w:r>
            <w:r>
              <w:rPr>
                <w:b/>
                <w:bCs/>
                <w:color w:val="auto"/>
                <w:kern w:val="0"/>
                <w:sz w:val="20"/>
                <w:szCs w:val="20"/>
                <w:lang w:bidi="ar"/>
              </w:rPr>
              <w:br w:type="textWrapping"/>
            </w:r>
            <w:r>
              <w:rPr>
                <w:b/>
                <w:bCs/>
                <w:color w:val="auto"/>
                <w:kern w:val="0"/>
                <w:sz w:val="20"/>
                <w:szCs w:val="20"/>
                <w:lang w:bidi="ar"/>
              </w:rPr>
              <w:t>指标</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r>
      <w:tr>
        <w:tblPrEx>
          <w:tblCellMar>
            <w:top w:w="0" w:type="dxa"/>
            <w:left w:w="108" w:type="dxa"/>
            <w:bottom w:w="0" w:type="dxa"/>
            <w:right w:w="108" w:type="dxa"/>
          </w:tblCellMar>
        </w:tblPrEx>
        <w:trPr>
          <w:trHeight w:val="54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社会效益</w:t>
            </w:r>
            <w:r>
              <w:rPr>
                <w:b/>
                <w:bCs/>
                <w:color w:val="auto"/>
                <w:kern w:val="0"/>
                <w:sz w:val="20"/>
                <w:szCs w:val="20"/>
                <w:lang w:bidi="ar"/>
              </w:rPr>
              <w:br w:type="textWrapping"/>
            </w:r>
            <w:r>
              <w:rPr>
                <w:b/>
                <w:bCs/>
                <w:color w:val="auto"/>
                <w:kern w:val="0"/>
                <w:sz w:val="20"/>
                <w:szCs w:val="20"/>
                <w:lang w:bidi="ar"/>
              </w:rPr>
              <w:t>指标</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对工作的促进作用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kern w:val="0"/>
                <w:sz w:val="20"/>
                <w:szCs w:val="20"/>
                <w:lang w:bidi="ar"/>
              </w:rPr>
            </w:pPr>
            <w:r>
              <w:rPr>
                <w:b/>
                <w:bCs/>
                <w:color w:val="auto"/>
                <w:kern w:val="0"/>
                <w:sz w:val="20"/>
                <w:szCs w:val="20"/>
                <w:lang w:bidi="ar"/>
              </w:rPr>
              <w:t>推进科学立法、民主立法和依法立法</w:t>
            </w:r>
          </w:p>
          <w:p>
            <w:pPr>
              <w:widowControl/>
              <w:jc w:val="center"/>
              <w:textAlignment w:val="center"/>
              <w:rPr>
                <w:b/>
                <w:bCs/>
                <w:color w:val="auto"/>
                <w:sz w:val="20"/>
                <w:szCs w:val="20"/>
              </w:rPr>
            </w:pPr>
            <w:r>
              <w:rPr>
                <w:b/>
                <w:bCs/>
                <w:color w:val="auto"/>
                <w:kern w:val="0"/>
                <w:sz w:val="20"/>
                <w:szCs w:val="20"/>
                <w:lang w:bidi="ar"/>
              </w:rPr>
              <w:t>工作</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kern w:val="0"/>
                <w:sz w:val="20"/>
                <w:szCs w:val="20"/>
                <w:lang w:bidi="ar"/>
              </w:rPr>
            </w:pPr>
            <w:r>
              <w:rPr>
                <w:b/>
                <w:bCs/>
                <w:color w:val="auto"/>
                <w:kern w:val="0"/>
                <w:sz w:val="20"/>
                <w:szCs w:val="20"/>
                <w:lang w:bidi="ar"/>
              </w:rPr>
              <w:t>推进了科学立法、民主立法和依法立法</w:t>
            </w:r>
          </w:p>
          <w:p>
            <w:pPr>
              <w:widowControl/>
              <w:jc w:val="center"/>
              <w:textAlignment w:val="center"/>
              <w:rPr>
                <w:b/>
                <w:bCs/>
                <w:color w:val="auto"/>
                <w:sz w:val="20"/>
                <w:szCs w:val="20"/>
              </w:rPr>
            </w:pPr>
            <w:r>
              <w:rPr>
                <w:b/>
                <w:bCs/>
                <w:color w:val="auto"/>
                <w:kern w:val="0"/>
                <w:sz w:val="20"/>
                <w:szCs w:val="20"/>
                <w:lang w:bidi="ar"/>
              </w:rPr>
              <w:t>工作</w:t>
            </w:r>
          </w:p>
        </w:tc>
      </w:tr>
      <w:tr>
        <w:tblPrEx>
          <w:tblCellMar>
            <w:top w:w="0" w:type="dxa"/>
            <w:left w:w="108" w:type="dxa"/>
            <w:bottom w:w="0" w:type="dxa"/>
            <w:right w:w="108" w:type="dxa"/>
          </w:tblCellMar>
        </w:tblPrEx>
        <w:trPr>
          <w:trHeight w:val="136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完善法律体系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通过对重点领域和民生领域立法，完善立法体系，切实保障社会各项工作有法可依</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实现了预期目标：通过对重点领域和民生领域立法，完善立法体系，切实保障</w:t>
            </w:r>
            <w:r>
              <w:rPr>
                <w:rFonts w:hint="eastAsia"/>
                <w:b/>
                <w:bCs/>
                <w:color w:val="auto"/>
                <w:kern w:val="0"/>
                <w:sz w:val="20"/>
                <w:szCs w:val="20"/>
                <w:lang w:eastAsia="zh-CN" w:bidi="ar"/>
              </w:rPr>
              <w:t>了</w:t>
            </w:r>
            <w:r>
              <w:rPr>
                <w:b/>
                <w:bCs/>
                <w:color w:val="auto"/>
                <w:kern w:val="0"/>
                <w:sz w:val="20"/>
                <w:szCs w:val="20"/>
                <w:lang w:bidi="ar"/>
              </w:rPr>
              <w:t>社会各项工作有法可依</w:t>
            </w:r>
          </w:p>
        </w:tc>
      </w:tr>
      <w:tr>
        <w:tblPrEx>
          <w:tblCellMar>
            <w:top w:w="0" w:type="dxa"/>
            <w:left w:w="108" w:type="dxa"/>
            <w:bottom w:w="0" w:type="dxa"/>
            <w:right w:w="108" w:type="dxa"/>
          </w:tblCellMar>
        </w:tblPrEx>
        <w:trPr>
          <w:trHeight w:val="52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生态效益</w:t>
            </w:r>
            <w:r>
              <w:rPr>
                <w:b/>
                <w:bCs/>
                <w:color w:val="auto"/>
                <w:kern w:val="0"/>
                <w:sz w:val="20"/>
                <w:szCs w:val="20"/>
                <w:lang w:bidi="ar"/>
              </w:rPr>
              <w:br w:type="textWrapping"/>
            </w:r>
            <w:r>
              <w:rPr>
                <w:b/>
                <w:bCs/>
                <w:color w:val="auto"/>
                <w:kern w:val="0"/>
                <w:sz w:val="20"/>
                <w:szCs w:val="20"/>
                <w:lang w:bidi="ar"/>
              </w:rPr>
              <w:t>指标</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r>
      <w:tr>
        <w:tblPrEx>
          <w:tblCellMar>
            <w:top w:w="0" w:type="dxa"/>
            <w:left w:w="108" w:type="dxa"/>
            <w:bottom w:w="0" w:type="dxa"/>
            <w:right w:w="108" w:type="dxa"/>
          </w:tblCellMar>
        </w:tblPrEx>
        <w:trPr>
          <w:trHeight w:val="54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可持续影响指标</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提高立法质量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长期持续</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长期持续</w:t>
            </w:r>
          </w:p>
        </w:tc>
      </w:tr>
      <w:tr>
        <w:tblPrEx>
          <w:tblCellMar>
            <w:top w:w="0" w:type="dxa"/>
            <w:left w:w="108" w:type="dxa"/>
            <w:bottom w:w="0" w:type="dxa"/>
            <w:right w:w="108" w:type="dxa"/>
          </w:tblCellMar>
        </w:tblPrEx>
        <w:trPr>
          <w:trHeight w:val="42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kern w:val="0"/>
                <w:sz w:val="20"/>
                <w:szCs w:val="20"/>
                <w:lang w:bidi="ar"/>
              </w:rPr>
            </w:pPr>
            <w:r>
              <w:rPr>
                <w:b/>
                <w:bCs/>
                <w:color w:val="auto"/>
                <w:kern w:val="0"/>
                <w:sz w:val="20"/>
                <w:szCs w:val="20"/>
                <w:lang w:bidi="ar"/>
              </w:rPr>
              <w:t>满意度</w:t>
            </w:r>
          </w:p>
          <w:p>
            <w:pPr>
              <w:widowControl/>
              <w:jc w:val="center"/>
              <w:textAlignment w:val="center"/>
              <w:rPr>
                <w:b/>
                <w:bCs/>
                <w:color w:val="auto"/>
                <w:sz w:val="20"/>
                <w:szCs w:val="20"/>
              </w:rPr>
            </w:pPr>
            <w:r>
              <w:rPr>
                <w:b/>
                <w:bCs/>
                <w:color w:val="auto"/>
                <w:kern w:val="0"/>
                <w:sz w:val="20"/>
                <w:szCs w:val="20"/>
                <w:lang w:bidi="ar"/>
              </w:rPr>
              <w:t>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kern w:val="0"/>
                <w:sz w:val="20"/>
                <w:szCs w:val="20"/>
                <w:lang w:bidi="ar"/>
              </w:rPr>
            </w:pPr>
            <w:r>
              <w:rPr>
                <w:b/>
                <w:bCs/>
                <w:color w:val="auto"/>
                <w:kern w:val="0"/>
                <w:sz w:val="20"/>
                <w:szCs w:val="20"/>
                <w:lang w:bidi="ar"/>
              </w:rPr>
              <w:t>满意度</w:t>
            </w:r>
          </w:p>
          <w:p>
            <w:pPr>
              <w:widowControl/>
              <w:jc w:val="center"/>
              <w:textAlignment w:val="center"/>
              <w:rPr>
                <w:b/>
                <w:bCs/>
                <w:color w:val="auto"/>
                <w:sz w:val="20"/>
                <w:szCs w:val="20"/>
              </w:rPr>
            </w:pPr>
            <w:r>
              <w:rPr>
                <w:b/>
                <w:bCs/>
                <w:color w:val="auto"/>
                <w:kern w:val="0"/>
                <w:sz w:val="20"/>
                <w:szCs w:val="20"/>
                <w:lang w:bidi="ar"/>
              </w:rPr>
              <w:t>指标</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r>
    </w:tbl>
    <w:tbl>
      <w:tblPr>
        <w:tblStyle w:val="12"/>
        <w:tblW w:w="10155" w:type="dxa"/>
        <w:jc w:val="center"/>
        <w:tblLayout w:type="autofit"/>
        <w:tblCellMar>
          <w:top w:w="0" w:type="dxa"/>
          <w:left w:w="108" w:type="dxa"/>
          <w:bottom w:w="0" w:type="dxa"/>
          <w:right w:w="108" w:type="dxa"/>
        </w:tblCellMar>
      </w:tblPr>
      <w:tblGrid>
        <w:gridCol w:w="697"/>
        <w:gridCol w:w="338"/>
        <w:gridCol w:w="1122"/>
        <w:gridCol w:w="153"/>
        <w:gridCol w:w="980"/>
        <w:gridCol w:w="235"/>
        <w:gridCol w:w="855"/>
        <w:gridCol w:w="12"/>
        <w:gridCol w:w="513"/>
        <w:gridCol w:w="930"/>
        <w:gridCol w:w="266"/>
        <w:gridCol w:w="1677"/>
        <w:gridCol w:w="217"/>
        <w:gridCol w:w="1462"/>
        <w:gridCol w:w="698"/>
      </w:tblGrid>
      <w:tr>
        <w:tblPrEx>
          <w:tblCellMar>
            <w:top w:w="0" w:type="dxa"/>
            <w:left w:w="108" w:type="dxa"/>
            <w:bottom w:w="0" w:type="dxa"/>
            <w:right w:w="108" w:type="dxa"/>
          </w:tblCellMar>
        </w:tblPrEx>
        <w:trPr>
          <w:trHeight w:val="400" w:hRule="atLeast"/>
          <w:jc w:val="center"/>
        </w:trPr>
        <w:tc>
          <w:tcPr>
            <w:tcW w:w="10155" w:type="dxa"/>
            <w:gridSpan w:val="15"/>
            <w:tcBorders>
              <w:top w:val="nil"/>
              <w:left w:val="nil"/>
              <w:bottom w:val="nil"/>
              <w:right w:val="nil"/>
            </w:tcBorders>
            <w:shd w:val="clear" w:color="auto" w:fill="auto"/>
            <w:vAlign w:val="center"/>
          </w:tcPr>
          <w:p>
            <w:pPr>
              <w:widowControl/>
              <w:jc w:val="center"/>
              <w:textAlignment w:val="center"/>
              <w:rPr>
                <w:b/>
                <w:bCs/>
                <w:color w:val="auto"/>
                <w:sz w:val="32"/>
                <w:szCs w:val="32"/>
              </w:rPr>
            </w:pPr>
            <w:r>
              <w:rPr>
                <w:b/>
                <w:bCs/>
                <w:color w:val="auto"/>
                <w:kern w:val="0"/>
                <w:sz w:val="32"/>
                <w:szCs w:val="32"/>
                <w:lang w:bidi="ar"/>
              </w:rPr>
              <w:t>项目支出绩效自评表</w:t>
            </w:r>
          </w:p>
        </w:tc>
      </w:tr>
      <w:tr>
        <w:tblPrEx>
          <w:tblCellMar>
            <w:top w:w="0" w:type="dxa"/>
            <w:left w:w="108" w:type="dxa"/>
            <w:bottom w:w="0" w:type="dxa"/>
            <w:right w:w="108" w:type="dxa"/>
          </w:tblCellMar>
        </w:tblPrEx>
        <w:trPr>
          <w:trHeight w:val="380" w:hRule="atLeast"/>
          <w:jc w:val="center"/>
        </w:trPr>
        <w:tc>
          <w:tcPr>
            <w:tcW w:w="10155" w:type="dxa"/>
            <w:gridSpan w:val="15"/>
            <w:tcBorders>
              <w:top w:val="nil"/>
              <w:left w:val="nil"/>
              <w:bottom w:val="nil"/>
              <w:right w:val="nil"/>
            </w:tcBorders>
            <w:shd w:val="clear" w:color="auto" w:fill="auto"/>
            <w:vAlign w:val="center"/>
          </w:tcPr>
          <w:p>
            <w:pPr>
              <w:widowControl/>
              <w:jc w:val="center"/>
              <w:textAlignment w:val="center"/>
              <w:rPr>
                <w:b/>
                <w:bCs/>
                <w:color w:val="auto"/>
                <w:sz w:val="24"/>
              </w:rPr>
            </w:pPr>
            <w:r>
              <w:rPr>
                <w:b/>
                <w:bCs/>
                <w:color w:val="auto"/>
                <w:kern w:val="0"/>
                <w:sz w:val="24"/>
                <w:lang w:bidi="ar"/>
              </w:rPr>
              <w:t>（2020年度）</w:t>
            </w:r>
          </w:p>
        </w:tc>
      </w:tr>
      <w:tr>
        <w:tblPrEx>
          <w:tblCellMar>
            <w:top w:w="0" w:type="dxa"/>
            <w:left w:w="108" w:type="dxa"/>
            <w:bottom w:w="0" w:type="dxa"/>
            <w:right w:w="108" w:type="dxa"/>
          </w:tblCellMar>
        </w:tblPrEx>
        <w:trPr>
          <w:trHeight w:val="360" w:hRule="atLeast"/>
          <w:jc w:val="center"/>
        </w:trPr>
        <w:tc>
          <w:tcPr>
            <w:tcW w:w="23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项目名称</w:t>
            </w:r>
          </w:p>
        </w:tc>
        <w:tc>
          <w:tcPr>
            <w:tcW w:w="784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代表履职活动保障经费</w:t>
            </w:r>
          </w:p>
        </w:tc>
      </w:tr>
      <w:tr>
        <w:tblPrEx>
          <w:tblCellMar>
            <w:top w:w="0" w:type="dxa"/>
            <w:left w:w="108" w:type="dxa"/>
            <w:bottom w:w="0" w:type="dxa"/>
            <w:right w:w="108" w:type="dxa"/>
          </w:tblCellMar>
        </w:tblPrEx>
        <w:trPr>
          <w:trHeight w:val="540" w:hRule="atLeast"/>
          <w:jc w:val="center"/>
        </w:trPr>
        <w:tc>
          <w:tcPr>
            <w:tcW w:w="23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主管部门及代码</w:t>
            </w:r>
          </w:p>
        </w:tc>
        <w:tc>
          <w:tcPr>
            <w:tcW w:w="35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四川省人民代表大会</w:t>
            </w:r>
            <w:r>
              <w:rPr>
                <w:b/>
                <w:bCs/>
                <w:color w:val="auto"/>
                <w:kern w:val="0"/>
                <w:sz w:val="20"/>
                <w:szCs w:val="20"/>
                <w:lang w:bidi="ar"/>
              </w:rPr>
              <w:br w:type="textWrapping"/>
            </w:r>
            <w:r>
              <w:rPr>
                <w:b/>
                <w:bCs/>
                <w:color w:val="auto"/>
                <w:kern w:val="0"/>
                <w:sz w:val="20"/>
                <w:szCs w:val="20"/>
                <w:lang w:bidi="ar"/>
              </w:rPr>
              <w:t>常务委员会办公厅</w:t>
            </w:r>
          </w:p>
        </w:tc>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实施单位</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四川省人民代表大会常务委员会办公厅</w:t>
            </w:r>
          </w:p>
        </w:tc>
      </w:tr>
      <w:tr>
        <w:tblPrEx>
          <w:tblCellMar>
            <w:top w:w="0" w:type="dxa"/>
            <w:left w:w="108" w:type="dxa"/>
            <w:bottom w:w="0" w:type="dxa"/>
            <w:right w:w="108" w:type="dxa"/>
          </w:tblCellMar>
        </w:tblPrEx>
        <w:trPr>
          <w:trHeight w:val="340" w:hRule="atLeast"/>
          <w:jc w:val="center"/>
        </w:trPr>
        <w:tc>
          <w:tcPr>
            <w:tcW w:w="231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项目预算</w:t>
            </w:r>
            <w:r>
              <w:rPr>
                <w:b/>
                <w:bCs/>
                <w:color w:val="auto"/>
                <w:kern w:val="0"/>
                <w:sz w:val="20"/>
                <w:szCs w:val="20"/>
                <w:lang w:bidi="ar"/>
              </w:rPr>
              <w:br w:type="textWrapping"/>
            </w:r>
            <w:r>
              <w:rPr>
                <w:b/>
                <w:bCs/>
                <w:color w:val="auto"/>
                <w:kern w:val="0"/>
                <w:sz w:val="20"/>
                <w:szCs w:val="20"/>
                <w:lang w:bidi="ar"/>
              </w:rPr>
              <w:t>执行情况</w:t>
            </w:r>
            <w:r>
              <w:rPr>
                <w:b/>
                <w:bCs/>
                <w:color w:val="auto"/>
                <w:kern w:val="0"/>
                <w:sz w:val="20"/>
                <w:szCs w:val="20"/>
                <w:lang w:bidi="ar"/>
              </w:rPr>
              <w:br w:type="textWrapping"/>
            </w:r>
            <w:r>
              <w:rPr>
                <w:b/>
                <w:bCs/>
                <w:color w:val="auto"/>
                <w:kern w:val="0"/>
                <w:sz w:val="20"/>
                <w:szCs w:val="20"/>
                <w:lang w:bidi="ar"/>
              </w:rPr>
              <w:t>（万元）</w:t>
            </w:r>
          </w:p>
        </w:tc>
        <w:tc>
          <w:tcPr>
            <w:tcW w:w="20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0"/>
                <w:szCs w:val="20"/>
              </w:rPr>
            </w:pPr>
            <w:r>
              <w:rPr>
                <w:b/>
                <w:bCs/>
                <w:color w:val="auto"/>
                <w:kern w:val="0"/>
                <w:sz w:val="20"/>
                <w:szCs w:val="20"/>
                <w:lang w:bidi="ar"/>
              </w:rPr>
              <w:t>预算数：</w:t>
            </w:r>
          </w:p>
        </w:tc>
        <w:tc>
          <w:tcPr>
            <w:tcW w:w="14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301.34</w:t>
            </w:r>
          </w:p>
        </w:tc>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0"/>
                <w:szCs w:val="20"/>
              </w:rPr>
            </w:pPr>
            <w:r>
              <w:rPr>
                <w:b/>
                <w:bCs/>
                <w:color w:val="auto"/>
                <w:kern w:val="0"/>
                <w:sz w:val="20"/>
                <w:szCs w:val="20"/>
                <w:lang w:bidi="ar"/>
              </w:rPr>
              <w:t xml:space="preserve"> 执行数：</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300.86</w:t>
            </w:r>
          </w:p>
        </w:tc>
      </w:tr>
      <w:tr>
        <w:tblPrEx>
          <w:tblCellMar>
            <w:top w:w="0" w:type="dxa"/>
            <w:left w:w="108" w:type="dxa"/>
            <w:bottom w:w="0" w:type="dxa"/>
            <w:right w:w="108" w:type="dxa"/>
          </w:tblCellMar>
        </w:tblPrEx>
        <w:trPr>
          <w:trHeight w:val="340" w:hRule="atLeast"/>
          <w:jc w:val="center"/>
        </w:trPr>
        <w:tc>
          <w:tcPr>
            <w:tcW w:w="231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20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0"/>
                <w:szCs w:val="20"/>
              </w:rPr>
            </w:pPr>
            <w:r>
              <w:rPr>
                <w:b/>
                <w:bCs/>
                <w:color w:val="auto"/>
                <w:kern w:val="0"/>
                <w:sz w:val="20"/>
                <w:szCs w:val="20"/>
                <w:lang w:bidi="ar"/>
              </w:rPr>
              <w:t>其中：财政拨款</w:t>
            </w:r>
          </w:p>
        </w:tc>
        <w:tc>
          <w:tcPr>
            <w:tcW w:w="14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301.34</w:t>
            </w:r>
          </w:p>
        </w:tc>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0"/>
                <w:szCs w:val="20"/>
              </w:rPr>
            </w:pPr>
            <w:r>
              <w:rPr>
                <w:b/>
                <w:bCs/>
                <w:color w:val="auto"/>
                <w:kern w:val="0"/>
                <w:sz w:val="20"/>
                <w:szCs w:val="20"/>
                <w:lang w:bidi="ar"/>
              </w:rPr>
              <w:t>其中：财政拨款</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300.86</w:t>
            </w:r>
          </w:p>
        </w:tc>
      </w:tr>
      <w:tr>
        <w:tblPrEx>
          <w:tblCellMar>
            <w:top w:w="0" w:type="dxa"/>
            <w:left w:w="108" w:type="dxa"/>
            <w:bottom w:w="0" w:type="dxa"/>
            <w:right w:w="108" w:type="dxa"/>
          </w:tblCellMar>
        </w:tblPrEx>
        <w:trPr>
          <w:trHeight w:val="340" w:hRule="atLeast"/>
          <w:jc w:val="center"/>
        </w:trPr>
        <w:tc>
          <w:tcPr>
            <w:tcW w:w="231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20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0"/>
                <w:szCs w:val="20"/>
              </w:rPr>
            </w:pPr>
            <w:r>
              <w:rPr>
                <w:b/>
                <w:bCs/>
                <w:color w:val="auto"/>
                <w:kern w:val="0"/>
                <w:sz w:val="20"/>
                <w:szCs w:val="20"/>
                <w:lang w:bidi="ar"/>
              </w:rPr>
              <w:t xml:space="preserve">      其他资金</w:t>
            </w:r>
          </w:p>
        </w:tc>
        <w:tc>
          <w:tcPr>
            <w:tcW w:w="14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0</w:t>
            </w:r>
          </w:p>
        </w:tc>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0"/>
                <w:szCs w:val="20"/>
              </w:rPr>
            </w:pPr>
            <w:r>
              <w:rPr>
                <w:b/>
                <w:bCs/>
                <w:color w:val="auto"/>
                <w:kern w:val="0"/>
                <w:sz w:val="20"/>
                <w:szCs w:val="20"/>
                <w:lang w:bidi="ar"/>
              </w:rPr>
              <w:t xml:space="preserve">      其他资金</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0</w:t>
            </w:r>
          </w:p>
        </w:tc>
      </w:tr>
      <w:tr>
        <w:tblPrEx>
          <w:tblCellMar>
            <w:top w:w="0" w:type="dxa"/>
            <w:left w:w="108" w:type="dxa"/>
            <w:bottom w:w="0" w:type="dxa"/>
            <w:right w:w="108" w:type="dxa"/>
          </w:tblCellMar>
        </w:tblPrEx>
        <w:trPr>
          <w:trHeight w:val="380" w:hRule="atLeast"/>
          <w:jc w:val="center"/>
        </w:trPr>
        <w:tc>
          <w:tcPr>
            <w:tcW w:w="10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年度总体目标完成情况</w:t>
            </w:r>
          </w:p>
        </w:tc>
        <w:tc>
          <w:tcPr>
            <w:tcW w:w="48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预期目标</w:t>
            </w:r>
          </w:p>
        </w:tc>
        <w:tc>
          <w:tcPr>
            <w:tcW w:w="43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目标实际完成情况</w:t>
            </w:r>
          </w:p>
        </w:tc>
      </w:tr>
      <w:tr>
        <w:tblPrEx>
          <w:tblCellMar>
            <w:top w:w="0" w:type="dxa"/>
            <w:left w:w="108" w:type="dxa"/>
            <w:bottom w:w="0" w:type="dxa"/>
            <w:right w:w="108" w:type="dxa"/>
          </w:tblCellMar>
        </w:tblPrEx>
        <w:trPr>
          <w:trHeight w:val="1200" w:hRule="atLeast"/>
          <w:jc w:val="center"/>
        </w:trPr>
        <w:tc>
          <w:tcPr>
            <w:tcW w:w="10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48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0"/>
                <w:szCs w:val="20"/>
              </w:rPr>
            </w:pPr>
            <w:r>
              <w:rPr>
                <w:b/>
                <w:bCs/>
                <w:color w:val="auto"/>
                <w:kern w:val="0"/>
                <w:sz w:val="20"/>
                <w:szCs w:val="20"/>
                <w:lang w:bidi="ar"/>
              </w:rPr>
              <w:t>委托21个市州人大常委会，省军区政治部组织省人大代表开展专题调研、集中观察；省人大常委会围绕全省工作重点，进行专题视察调研，切实保障人民意志充分体现。</w:t>
            </w:r>
          </w:p>
        </w:tc>
        <w:tc>
          <w:tcPr>
            <w:tcW w:w="43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0"/>
                <w:szCs w:val="20"/>
              </w:rPr>
            </w:pPr>
            <w:r>
              <w:rPr>
                <w:b/>
                <w:bCs/>
                <w:color w:val="auto"/>
                <w:kern w:val="0"/>
                <w:sz w:val="20"/>
                <w:szCs w:val="20"/>
                <w:lang w:bidi="ar"/>
              </w:rPr>
              <w:t>委托21个市州人大常委会，省军区政治部组织省人大代表开展了专题调研、集中观察；省人大常委会围绕全省工作重点，进行了专题视察调研，切实保障人民意志充分体现。</w:t>
            </w:r>
          </w:p>
        </w:tc>
      </w:tr>
      <w:tr>
        <w:tblPrEx>
          <w:tblCellMar>
            <w:top w:w="0" w:type="dxa"/>
            <w:left w:w="108" w:type="dxa"/>
            <w:bottom w:w="0" w:type="dxa"/>
            <w:right w:w="108" w:type="dxa"/>
          </w:tblCellMar>
        </w:tblPrEx>
        <w:trPr>
          <w:trHeight w:val="400" w:hRule="atLeast"/>
          <w:jc w:val="center"/>
        </w:trPr>
        <w:tc>
          <w:tcPr>
            <w:tcW w:w="10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绩效指标完成情况</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一级指标</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二级指标</w:t>
            </w:r>
          </w:p>
        </w:tc>
        <w:tc>
          <w:tcPr>
            <w:tcW w:w="23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三级指标</w:t>
            </w:r>
          </w:p>
        </w:tc>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预期指标值</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实际完成指标值</w:t>
            </w:r>
          </w:p>
        </w:tc>
      </w:tr>
      <w:tr>
        <w:tblPrEx>
          <w:tblCellMar>
            <w:top w:w="0" w:type="dxa"/>
            <w:left w:w="108" w:type="dxa"/>
            <w:bottom w:w="0" w:type="dxa"/>
            <w:right w:w="108" w:type="dxa"/>
          </w:tblCellMar>
        </w:tblPrEx>
        <w:trPr>
          <w:trHeight w:val="380" w:hRule="atLeast"/>
          <w:jc w:val="center"/>
        </w:trPr>
        <w:tc>
          <w:tcPr>
            <w:tcW w:w="10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2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完</w:t>
            </w:r>
            <w:r>
              <w:rPr>
                <w:b/>
                <w:bCs/>
                <w:color w:val="auto"/>
                <w:kern w:val="0"/>
                <w:sz w:val="20"/>
                <w:szCs w:val="20"/>
                <w:lang w:bidi="ar"/>
              </w:rPr>
              <w:br w:type="textWrapping"/>
            </w:r>
            <w:r>
              <w:rPr>
                <w:b/>
                <w:bCs/>
                <w:color w:val="auto"/>
                <w:kern w:val="0"/>
                <w:sz w:val="20"/>
                <w:szCs w:val="20"/>
                <w:lang w:bidi="ar"/>
              </w:rPr>
              <w:t>成</w:t>
            </w:r>
            <w:r>
              <w:rPr>
                <w:b/>
                <w:bCs/>
                <w:color w:val="auto"/>
                <w:kern w:val="0"/>
                <w:sz w:val="20"/>
                <w:szCs w:val="20"/>
                <w:lang w:bidi="ar"/>
              </w:rPr>
              <w:br w:type="textWrapping"/>
            </w:r>
            <w:r>
              <w:rPr>
                <w:b/>
                <w:bCs/>
                <w:color w:val="auto"/>
                <w:kern w:val="0"/>
                <w:sz w:val="20"/>
                <w:szCs w:val="20"/>
                <w:lang w:bidi="ar"/>
              </w:rPr>
              <w:t>指</w:t>
            </w:r>
            <w:r>
              <w:rPr>
                <w:b/>
                <w:bCs/>
                <w:color w:val="auto"/>
                <w:kern w:val="0"/>
                <w:sz w:val="20"/>
                <w:szCs w:val="20"/>
                <w:lang w:bidi="ar"/>
              </w:rPr>
              <w:br w:type="textWrapping"/>
            </w:r>
            <w:r>
              <w:rPr>
                <w:b/>
                <w:bCs/>
                <w:color w:val="auto"/>
                <w:kern w:val="0"/>
                <w:sz w:val="20"/>
                <w:szCs w:val="20"/>
                <w:lang w:bidi="ar"/>
              </w:rPr>
              <w:t>标</w:t>
            </w:r>
          </w:p>
        </w:tc>
        <w:tc>
          <w:tcPr>
            <w:tcW w:w="12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数量指标</w:t>
            </w:r>
          </w:p>
        </w:tc>
        <w:tc>
          <w:tcPr>
            <w:tcW w:w="23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保障代表履职人数</w:t>
            </w:r>
          </w:p>
        </w:tc>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894人</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894人</w:t>
            </w:r>
          </w:p>
        </w:tc>
      </w:tr>
      <w:tr>
        <w:tblPrEx>
          <w:tblCellMar>
            <w:top w:w="0" w:type="dxa"/>
            <w:left w:w="108" w:type="dxa"/>
            <w:bottom w:w="0" w:type="dxa"/>
            <w:right w:w="108" w:type="dxa"/>
          </w:tblCellMar>
        </w:tblPrEx>
        <w:trPr>
          <w:trHeight w:val="380" w:hRule="atLeast"/>
          <w:jc w:val="center"/>
        </w:trPr>
        <w:tc>
          <w:tcPr>
            <w:tcW w:w="10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2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2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23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形成视察调研报告</w:t>
            </w:r>
          </w:p>
        </w:tc>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大于等于21篇</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大于21篇</w:t>
            </w:r>
          </w:p>
        </w:tc>
      </w:tr>
      <w:tr>
        <w:tblPrEx>
          <w:tblCellMar>
            <w:top w:w="0" w:type="dxa"/>
            <w:left w:w="108" w:type="dxa"/>
            <w:bottom w:w="0" w:type="dxa"/>
            <w:right w:w="108" w:type="dxa"/>
          </w:tblCellMar>
        </w:tblPrEx>
        <w:trPr>
          <w:trHeight w:val="540" w:hRule="atLeast"/>
          <w:jc w:val="center"/>
        </w:trPr>
        <w:tc>
          <w:tcPr>
            <w:tcW w:w="10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2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2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23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组织代表参加省人大执法检查等活动</w:t>
            </w:r>
          </w:p>
        </w:tc>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大于等于20人次</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大于20人次</w:t>
            </w:r>
          </w:p>
        </w:tc>
      </w:tr>
      <w:tr>
        <w:tblPrEx>
          <w:tblCellMar>
            <w:top w:w="0" w:type="dxa"/>
            <w:left w:w="108" w:type="dxa"/>
            <w:bottom w:w="0" w:type="dxa"/>
            <w:right w:w="108" w:type="dxa"/>
          </w:tblCellMar>
        </w:tblPrEx>
        <w:trPr>
          <w:trHeight w:val="540" w:hRule="atLeast"/>
          <w:jc w:val="center"/>
        </w:trPr>
        <w:tc>
          <w:tcPr>
            <w:tcW w:w="10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2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2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23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组织代表列席省人大</w:t>
            </w:r>
            <w:r>
              <w:rPr>
                <w:b/>
                <w:bCs/>
                <w:color w:val="auto"/>
                <w:kern w:val="0"/>
                <w:sz w:val="20"/>
                <w:szCs w:val="20"/>
                <w:lang w:bidi="ar"/>
              </w:rPr>
              <w:br w:type="textWrapping"/>
            </w:r>
            <w:r>
              <w:rPr>
                <w:b/>
                <w:bCs/>
                <w:color w:val="auto"/>
                <w:kern w:val="0"/>
                <w:sz w:val="20"/>
                <w:szCs w:val="20"/>
                <w:lang w:bidi="ar"/>
              </w:rPr>
              <w:t>常委会</w:t>
            </w:r>
          </w:p>
        </w:tc>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大于等于35人次</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大于35人次</w:t>
            </w:r>
          </w:p>
        </w:tc>
      </w:tr>
      <w:tr>
        <w:tblPrEx>
          <w:tblCellMar>
            <w:top w:w="0" w:type="dxa"/>
            <w:left w:w="108" w:type="dxa"/>
            <w:bottom w:w="0" w:type="dxa"/>
            <w:right w:w="108" w:type="dxa"/>
          </w:tblCellMar>
        </w:tblPrEx>
        <w:trPr>
          <w:trHeight w:val="380" w:hRule="atLeast"/>
          <w:jc w:val="center"/>
        </w:trPr>
        <w:tc>
          <w:tcPr>
            <w:tcW w:w="10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2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2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23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组织视察人次</w:t>
            </w:r>
          </w:p>
        </w:tc>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大于等于400人次</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大于400人次</w:t>
            </w:r>
          </w:p>
        </w:tc>
      </w:tr>
      <w:tr>
        <w:tblPrEx>
          <w:tblCellMar>
            <w:top w:w="0" w:type="dxa"/>
            <w:left w:w="108" w:type="dxa"/>
            <w:bottom w:w="0" w:type="dxa"/>
            <w:right w:w="108" w:type="dxa"/>
          </w:tblCellMar>
        </w:tblPrEx>
        <w:trPr>
          <w:trHeight w:val="380" w:hRule="atLeast"/>
          <w:jc w:val="center"/>
        </w:trPr>
        <w:tc>
          <w:tcPr>
            <w:tcW w:w="10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2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质量指标</w:t>
            </w:r>
          </w:p>
        </w:tc>
        <w:tc>
          <w:tcPr>
            <w:tcW w:w="23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r>
      <w:tr>
        <w:tblPrEx>
          <w:tblCellMar>
            <w:top w:w="0" w:type="dxa"/>
            <w:left w:w="108" w:type="dxa"/>
            <w:bottom w:w="0" w:type="dxa"/>
            <w:right w:w="108" w:type="dxa"/>
          </w:tblCellMar>
        </w:tblPrEx>
        <w:trPr>
          <w:trHeight w:val="380" w:hRule="atLeast"/>
          <w:jc w:val="center"/>
        </w:trPr>
        <w:tc>
          <w:tcPr>
            <w:tcW w:w="10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2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时效指标</w:t>
            </w:r>
          </w:p>
        </w:tc>
        <w:tc>
          <w:tcPr>
            <w:tcW w:w="23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完成时间</w:t>
            </w:r>
          </w:p>
        </w:tc>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2020年12月</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2020年12月</w:t>
            </w:r>
          </w:p>
        </w:tc>
      </w:tr>
      <w:tr>
        <w:tblPrEx>
          <w:tblCellMar>
            <w:top w:w="0" w:type="dxa"/>
            <w:left w:w="108" w:type="dxa"/>
            <w:bottom w:w="0" w:type="dxa"/>
            <w:right w:w="108" w:type="dxa"/>
          </w:tblCellMar>
        </w:tblPrEx>
        <w:trPr>
          <w:trHeight w:val="380" w:hRule="atLeast"/>
          <w:jc w:val="center"/>
        </w:trPr>
        <w:tc>
          <w:tcPr>
            <w:tcW w:w="10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2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成本指标</w:t>
            </w:r>
          </w:p>
        </w:tc>
        <w:tc>
          <w:tcPr>
            <w:tcW w:w="23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每名代表经费开支标准</w:t>
            </w:r>
          </w:p>
        </w:tc>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5000元</w:t>
            </w:r>
            <w:r>
              <w:rPr>
                <w:rFonts w:hint="eastAsia"/>
                <w:b/>
                <w:bCs/>
                <w:color w:val="auto"/>
                <w:kern w:val="0"/>
                <w:sz w:val="20"/>
                <w:szCs w:val="20"/>
                <w:lang w:val="en-US" w:eastAsia="zh-CN" w:bidi="ar"/>
              </w:rPr>
              <w:t>/</w:t>
            </w:r>
            <w:r>
              <w:rPr>
                <w:b/>
                <w:bCs/>
                <w:color w:val="auto"/>
                <w:kern w:val="0"/>
                <w:sz w:val="20"/>
                <w:szCs w:val="20"/>
                <w:lang w:bidi="ar"/>
              </w:rPr>
              <w:t>年</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5000元</w:t>
            </w:r>
          </w:p>
        </w:tc>
      </w:tr>
      <w:tr>
        <w:tblPrEx>
          <w:tblCellMar>
            <w:top w:w="0" w:type="dxa"/>
            <w:left w:w="108" w:type="dxa"/>
            <w:bottom w:w="0" w:type="dxa"/>
            <w:right w:w="108" w:type="dxa"/>
          </w:tblCellMar>
        </w:tblPrEx>
        <w:trPr>
          <w:trHeight w:val="540" w:hRule="atLeast"/>
          <w:jc w:val="center"/>
        </w:trPr>
        <w:tc>
          <w:tcPr>
            <w:tcW w:w="10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2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效</w:t>
            </w:r>
            <w:r>
              <w:rPr>
                <w:b/>
                <w:bCs/>
                <w:color w:val="auto"/>
                <w:kern w:val="0"/>
                <w:sz w:val="20"/>
                <w:szCs w:val="20"/>
                <w:lang w:bidi="ar"/>
              </w:rPr>
              <w:br w:type="textWrapping"/>
            </w:r>
            <w:r>
              <w:rPr>
                <w:b/>
                <w:bCs/>
                <w:color w:val="auto"/>
                <w:kern w:val="0"/>
                <w:sz w:val="20"/>
                <w:szCs w:val="20"/>
                <w:lang w:bidi="ar"/>
              </w:rPr>
              <w:t>益</w:t>
            </w:r>
            <w:r>
              <w:rPr>
                <w:b/>
                <w:bCs/>
                <w:color w:val="auto"/>
                <w:kern w:val="0"/>
                <w:sz w:val="20"/>
                <w:szCs w:val="20"/>
                <w:lang w:bidi="ar"/>
              </w:rPr>
              <w:br w:type="textWrapping"/>
            </w:r>
            <w:r>
              <w:rPr>
                <w:b/>
                <w:bCs/>
                <w:color w:val="auto"/>
                <w:kern w:val="0"/>
                <w:sz w:val="20"/>
                <w:szCs w:val="20"/>
                <w:lang w:bidi="ar"/>
              </w:rPr>
              <w:t>指</w:t>
            </w:r>
            <w:r>
              <w:rPr>
                <w:b/>
                <w:bCs/>
                <w:color w:val="auto"/>
                <w:kern w:val="0"/>
                <w:sz w:val="20"/>
                <w:szCs w:val="20"/>
                <w:lang w:bidi="ar"/>
              </w:rPr>
              <w:br w:type="textWrapping"/>
            </w:r>
            <w:r>
              <w:rPr>
                <w:b/>
                <w:bCs/>
                <w:color w:val="auto"/>
                <w:kern w:val="0"/>
                <w:sz w:val="20"/>
                <w:szCs w:val="20"/>
                <w:lang w:bidi="ar"/>
              </w:rPr>
              <w:t>标</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经济效益</w:t>
            </w:r>
            <w:r>
              <w:rPr>
                <w:b/>
                <w:bCs/>
                <w:color w:val="auto"/>
                <w:kern w:val="0"/>
                <w:sz w:val="20"/>
                <w:szCs w:val="20"/>
                <w:lang w:bidi="ar"/>
              </w:rPr>
              <w:br w:type="textWrapping"/>
            </w:r>
            <w:r>
              <w:rPr>
                <w:b/>
                <w:bCs/>
                <w:color w:val="auto"/>
                <w:kern w:val="0"/>
                <w:sz w:val="20"/>
                <w:szCs w:val="20"/>
                <w:lang w:bidi="ar"/>
              </w:rPr>
              <w:t>指标</w:t>
            </w:r>
          </w:p>
        </w:tc>
        <w:tc>
          <w:tcPr>
            <w:tcW w:w="23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r>
      <w:tr>
        <w:tblPrEx>
          <w:tblCellMar>
            <w:top w:w="0" w:type="dxa"/>
            <w:left w:w="108" w:type="dxa"/>
            <w:bottom w:w="0" w:type="dxa"/>
            <w:right w:w="108" w:type="dxa"/>
          </w:tblCellMar>
        </w:tblPrEx>
        <w:trPr>
          <w:trHeight w:val="920" w:hRule="atLeast"/>
          <w:jc w:val="center"/>
        </w:trPr>
        <w:tc>
          <w:tcPr>
            <w:tcW w:w="10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2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2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社会效益</w:t>
            </w:r>
            <w:r>
              <w:rPr>
                <w:b/>
                <w:bCs/>
                <w:color w:val="auto"/>
                <w:kern w:val="0"/>
                <w:sz w:val="20"/>
                <w:szCs w:val="20"/>
                <w:lang w:bidi="ar"/>
              </w:rPr>
              <w:br w:type="textWrapping"/>
            </w:r>
            <w:r>
              <w:rPr>
                <w:b/>
                <w:bCs/>
                <w:color w:val="auto"/>
                <w:kern w:val="0"/>
                <w:sz w:val="20"/>
                <w:szCs w:val="20"/>
                <w:lang w:bidi="ar"/>
              </w:rPr>
              <w:t>指标</w:t>
            </w:r>
          </w:p>
        </w:tc>
        <w:tc>
          <w:tcPr>
            <w:tcW w:w="23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对工作的促进作用</w:t>
            </w:r>
          </w:p>
        </w:tc>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kern w:val="0"/>
                <w:sz w:val="20"/>
                <w:szCs w:val="20"/>
                <w:lang w:bidi="ar"/>
              </w:rPr>
            </w:pPr>
            <w:r>
              <w:rPr>
                <w:b/>
                <w:bCs/>
                <w:color w:val="auto"/>
                <w:kern w:val="0"/>
                <w:sz w:val="20"/>
                <w:szCs w:val="20"/>
                <w:lang w:bidi="ar"/>
              </w:rPr>
              <w:t>通过充分收集代表意见，切实提高人大各项工作的针对性</w:t>
            </w:r>
          </w:p>
          <w:p>
            <w:pPr>
              <w:widowControl/>
              <w:jc w:val="center"/>
              <w:textAlignment w:val="center"/>
              <w:rPr>
                <w:b/>
                <w:bCs/>
                <w:color w:val="auto"/>
                <w:sz w:val="20"/>
                <w:szCs w:val="20"/>
              </w:rPr>
            </w:pPr>
            <w:r>
              <w:rPr>
                <w:b/>
                <w:bCs/>
                <w:color w:val="auto"/>
                <w:kern w:val="0"/>
                <w:sz w:val="20"/>
                <w:szCs w:val="20"/>
                <w:lang w:bidi="ar"/>
              </w:rPr>
              <w:t>和有效性</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kern w:val="0"/>
                <w:sz w:val="20"/>
                <w:szCs w:val="20"/>
                <w:lang w:bidi="ar"/>
              </w:rPr>
            </w:pPr>
            <w:r>
              <w:rPr>
                <w:b/>
                <w:bCs/>
                <w:color w:val="auto"/>
                <w:kern w:val="0"/>
                <w:sz w:val="20"/>
                <w:szCs w:val="20"/>
                <w:lang w:bidi="ar"/>
              </w:rPr>
              <w:t>通过充分收集代表意见，切实提高了人大各项工作的针对性</w:t>
            </w:r>
          </w:p>
          <w:p>
            <w:pPr>
              <w:widowControl/>
              <w:jc w:val="center"/>
              <w:textAlignment w:val="center"/>
              <w:rPr>
                <w:b/>
                <w:bCs/>
                <w:color w:val="auto"/>
                <w:sz w:val="20"/>
                <w:szCs w:val="20"/>
              </w:rPr>
            </w:pPr>
            <w:r>
              <w:rPr>
                <w:b/>
                <w:bCs/>
                <w:color w:val="auto"/>
                <w:kern w:val="0"/>
                <w:sz w:val="20"/>
                <w:szCs w:val="20"/>
                <w:lang w:bidi="ar"/>
              </w:rPr>
              <w:t>和有效性</w:t>
            </w:r>
          </w:p>
        </w:tc>
      </w:tr>
      <w:tr>
        <w:tblPrEx>
          <w:tblCellMar>
            <w:top w:w="0" w:type="dxa"/>
            <w:left w:w="108" w:type="dxa"/>
            <w:bottom w:w="0" w:type="dxa"/>
            <w:right w:w="108" w:type="dxa"/>
          </w:tblCellMar>
        </w:tblPrEx>
        <w:trPr>
          <w:trHeight w:val="640" w:hRule="atLeast"/>
          <w:jc w:val="center"/>
        </w:trPr>
        <w:tc>
          <w:tcPr>
            <w:tcW w:w="10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2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2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23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对工作的促进</w:t>
            </w:r>
          </w:p>
        </w:tc>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保障人民意志充分体现，维护社会长治久安</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实现了保障人民意志充分体现、维护社会长治久安的预期目标</w:t>
            </w:r>
          </w:p>
        </w:tc>
      </w:tr>
      <w:tr>
        <w:tblPrEx>
          <w:tblCellMar>
            <w:top w:w="0" w:type="dxa"/>
            <w:left w:w="108" w:type="dxa"/>
            <w:bottom w:w="0" w:type="dxa"/>
            <w:right w:w="108" w:type="dxa"/>
          </w:tblCellMar>
        </w:tblPrEx>
        <w:trPr>
          <w:trHeight w:val="500" w:hRule="atLeast"/>
          <w:jc w:val="center"/>
        </w:trPr>
        <w:tc>
          <w:tcPr>
            <w:tcW w:w="10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2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生态效益</w:t>
            </w:r>
            <w:r>
              <w:rPr>
                <w:b/>
                <w:bCs/>
                <w:color w:val="auto"/>
                <w:kern w:val="0"/>
                <w:sz w:val="20"/>
                <w:szCs w:val="20"/>
                <w:lang w:bidi="ar"/>
              </w:rPr>
              <w:br w:type="textWrapping"/>
            </w:r>
            <w:r>
              <w:rPr>
                <w:b/>
                <w:bCs/>
                <w:color w:val="auto"/>
                <w:kern w:val="0"/>
                <w:sz w:val="20"/>
                <w:szCs w:val="20"/>
                <w:lang w:bidi="ar"/>
              </w:rPr>
              <w:t>指标</w:t>
            </w:r>
          </w:p>
        </w:tc>
        <w:tc>
          <w:tcPr>
            <w:tcW w:w="23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r>
      <w:tr>
        <w:tblPrEx>
          <w:tblCellMar>
            <w:top w:w="0" w:type="dxa"/>
            <w:left w:w="108" w:type="dxa"/>
            <w:bottom w:w="0" w:type="dxa"/>
            <w:right w:w="108" w:type="dxa"/>
          </w:tblCellMar>
        </w:tblPrEx>
        <w:trPr>
          <w:trHeight w:val="480" w:hRule="atLeast"/>
          <w:jc w:val="center"/>
        </w:trPr>
        <w:tc>
          <w:tcPr>
            <w:tcW w:w="10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2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可持续影响指标</w:t>
            </w:r>
          </w:p>
        </w:tc>
        <w:tc>
          <w:tcPr>
            <w:tcW w:w="23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产生的影响</w:t>
            </w:r>
          </w:p>
        </w:tc>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长期持续</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长期持续</w:t>
            </w:r>
          </w:p>
        </w:tc>
      </w:tr>
      <w:tr>
        <w:tblPrEx>
          <w:tblCellMar>
            <w:top w:w="0" w:type="dxa"/>
            <w:left w:w="108" w:type="dxa"/>
            <w:bottom w:w="0" w:type="dxa"/>
            <w:right w:w="108" w:type="dxa"/>
          </w:tblCellMar>
        </w:tblPrEx>
        <w:trPr>
          <w:trHeight w:val="420" w:hRule="atLeast"/>
          <w:jc w:val="center"/>
        </w:trPr>
        <w:tc>
          <w:tcPr>
            <w:tcW w:w="10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满意度指标</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kern w:val="0"/>
                <w:sz w:val="20"/>
                <w:szCs w:val="20"/>
                <w:lang w:bidi="ar"/>
              </w:rPr>
            </w:pPr>
            <w:r>
              <w:rPr>
                <w:b/>
                <w:bCs/>
                <w:color w:val="auto"/>
                <w:kern w:val="0"/>
                <w:sz w:val="20"/>
                <w:szCs w:val="20"/>
                <w:lang w:bidi="ar"/>
              </w:rPr>
              <w:t>满意度</w:t>
            </w:r>
          </w:p>
          <w:p>
            <w:pPr>
              <w:widowControl/>
              <w:jc w:val="center"/>
              <w:textAlignment w:val="center"/>
              <w:rPr>
                <w:b/>
                <w:bCs/>
                <w:color w:val="auto"/>
                <w:sz w:val="20"/>
                <w:szCs w:val="20"/>
              </w:rPr>
            </w:pPr>
            <w:r>
              <w:rPr>
                <w:b/>
                <w:bCs/>
                <w:color w:val="auto"/>
                <w:kern w:val="0"/>
                <w:sz w:val="20"/>
                <w:szCs w:val="20"/>
                <w:lang w:bidi="ar"/>
              </w:rPr>
              <w:t>指标</w:t>
            </w:r>
          </w:p>
        </w:tc>
        <w:tc>
          <w:tcPr>
            <w:tcW w:w="23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服务代表工作满意度</w:t>
            </w:r>
          </w:p>
        </w:tc>
        <w:tc>
          <w:tcPr>
            <w:tcW w:w="21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大于等于95%</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大于95%</w:t>
            </w:r>
          </w:p>
        </w:tc>
      </w:tr>
      <w:tr>
        <w:tblPrEx>
          <w:tblCellMar>
            <w:top w:w="0" w:type="dxa"/>
            <w:left w:w="108" w:type="dxa"/>
            <w:bottom w:w="0" w:type="dxa"/>
            <w:right w:w="108" w:type="dxa"/>
          </w:tblCellMar>
        </w:tblPrEx>
        <w:trPr>
          <w:gridBefore w:val="1"/>
          <w:gridAfter w:val="1"/>
          <w:wBefore w:w="697" w:type="dxa"/>
          <w:wAfter w:w="698" w:type="dxa"/>
          <w:trHeight w:val="722" w:hRule="atLeast"/>
          <w:jc w:val="center"/>
        </w:trPr>
        <w:tc>
          <w:tcPr>
            <w:tcW w:w="8760" w:type="dxa"/>
            <w:gridSpan w:val="13"/>
            <w:tcBorders>
              <w:top w:val="nil"/>
              <w:left w:val="nil"/>
              <w:bottom w:val="nil"/>
              <w:right w:val="nil"/>
            </w:tcBorders>
            <w:shd w:val="clear" w:color="auto" w:fill="auto"/>
            <w:vAlign w:val="center"/>
          </w:tcPr>
          <w:p>
            <w:pPr>
              <w:widowControl/>
              <w:jc w:val="center"/>
              <w:textAlignment w:val="center"/>
              <w:rPr>
                <w:b/>
                <w:bCs/>
                <w:color w:val="auto"/>
                <w:sz w:val="32"/>
                <w:szCs w:val="32"/>
              </w:rPr>
            </w:pPr>
            <w:r>
              <w:rPr>
                <w:b/>
                <w:bCs/>
                <w:color w:val="auto"/>
                <w:kern w:val="0"/>
                <w:sz w:val="32"/>
                <w:szCs w:val="32"/>
                <w:lang w:bidi="ar"/>
              </w:rPr>
              <w:t>项目支出绩效自评表</w:t>
            </w:r>
          </w:p>
        </w:tc>
      </w:tr>
      <w:tr>
        <w:tblPrEx>
          <w:tblCellMar>
            <w:top w:w="0" w:type="dxa"/>
            <w:left w:w="108" w:type="dxa"/>
            <w:bottom w:w="0" w:type="dxa"/>
            <w:right w:w="108" w:type="dxa"/>
          </w:tblCellMar>
        </w:tblPrEx>
        <w:trPr>
          <w:gridBefore w:val="1"/>
          <w:gridAfter w:val="1"/>
          <w:wBefore w:w="697" w:type="dxa"/>
          <w:wAfter w:w="698" w:type="dxa"/>
          <w:trHeight w:val="385" w:hRule="atLeast"/>
          <w:jc w:val="center"/>
        </w:trPr>
        <w:tc>
          <w:tcPr>
            <w:tcW w:w="8760" w:type="dxa"/>
            <w:gridSpan w:val="13"/>
            <w:tcBorders>
              <w:top w:val="nil"/>
              <w:left w:val="nil"/>
              <w:bottom w:val="nil"/>
              <w:right w:val="nil"/>
            </w:tcBorders>
            <w:shd w:val="clear" w:color="auto" w:fill="auto"/>
            <w:vAlign w:val="center"/>
          </w:tcPr>
          <w:p>
            <w:pPr>
              <w:widowControl/>
              <w:jc w:val="center"/>
              <w:textAlignment w:val="center"/>
              <w:rPr>
                <w:b/>
                <w:bCs/>
                <w:color w:val="auto"/>
                <w:sz w:val="24"/>
              </w:rPr>
            </w:pPr>
            <w:r>
              <w:rPr>
                <w:b/>
                <w:bCs/>
                <w:color w:val="auto"/>
                <w:kern w:val="0"/>
                <w:sz w:val="24"/>
                <w:lang w:bidi="ar"/>
              </w:rPr>
              <w:t>（2020年度）</w:t>
            </w:r>
          </w:p>
        </w:tc>
      </w:tr>
      <w:tr>
        <w:tblPrEx>
          <w:tblCellMar>
            <w:top w:w="0" w:type="dxa"/>
            <w:left w:w="108" w:type="dxa"/>
            <w:bottom w:w="0" w:type="dxa"/>
            <w:right w:w="108" w:type="dxa"/>
          </w:tblCellMar>
        </w:tblPrEx>
        <w:trPr>
          <w:gridBefore w:val="1"/>
          <w:gridAfter w:val="1"/>
          <w:wBefore w:w="697" w:type="dxa"/>
          <w:wAfter w:w="698" w:type="dxa"/>
          <w:trHeight w:val="372" w:hRule="atLeast"/>
          <w:jc w:val="center"/>
        </w:trPr>
        <w:tc>
          <w:tcPr>
            <w:tcW w:w="259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项目名称</w:t>
            </w:r>
          </w:p>
        </w:tc>
        <w:tc>
          <w:tcPr>
            <w:tcW w:w="61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代表履职能力提升经费</w:t>
            </w:r>
          </w:p>
        </w:tc>
      </w:tr>
      <w:tr>
        <w:tblPrEx>
          <w:tblCellMar>
            <w:top w:w="0" w:type="dxa"/>
            <w:left w:w="108" w:type="dxa"/>
            <w:bottom w:w="0" w:type="dxa"/>
            <w:right w:w="108" w:type="dxa"/>
          </w:tblCellMar>
        </w:tblPrEx>
        <w:trPr>
          <w:gridBefore w:val="1"/>
          <w:gridAfter w:val="1"/>
          <w:wBefore w:w="697" w:type="dxa"/>
          <w:wAfter w:w="698" w:type="dxa"/>
          <w:trHeight w:val="1095" w:hRule="atLeast"/>
          <w:jc w:val="center"/>
        </w:trPr>
        <w:tc>
          <w:tcPr>
            <w:tcW w:w="259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主管部门及代码</w:t>
            </w:r>
          </w:p>
        </w:tc>
        <w:tc>
          <w:tcPr>
            <w:tcW w:w="281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四川省人民代表大会常务</w:t>
            </w:r>
            <w:r>
              <w:rPr>
                <w:b/>
                <w:bCs/>
                <w:color w:val="auto"/>
                <w:kern w:val="0"/>
                <w:sz w:val="20"/>
                <w:szCs w:val="20"/>
                <w:lang w:bidi="ar"/>
              </w:rPr>
              <w:br w:type="textWrapping"/>
            </w:r>
            <w:r>
              <w:rPr>
                <w:b/>
                <w:bCs/>
                <w:color w:val="auto"/>
                <w:kern w:val="0"/>
                <w:sz w:val="20"/>
                <w:szCs w:val="20"/>
                <w:lang w:bidi="ar"/>
              </w:rPr>
              <w:t>委员会办公厅</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实施单位</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四川省人民代表大会常务委员会办公厅</w:t>
            </w:r>
          </w:p>
        </w:tc>
      </w:tr>
      <w:tr>
        <w:tblPrEx>
          <w:tblCellMar>
            <w:top w:w="0" w:type="dxa"/>
            <w:left w:w="108" w:type="dxa"/>
            <w:bottom w:w="0" w:type="dxa"/>
            <w:right w:w="108" w:type="dxa"/>
          </w:tblCellMar>
        </w:tblPrEx>
        <w:trPr>
          <w:gridBefore w:val="1"/>
          <w:gridAfter w:val="1"/>
          <w:wBefore w:w="697" w:type="dxa"/>
          <w:wAfter w:w="698" w:type="dxa"/>
          <w:trHeight w:val="372" w:hRule="atLeast"/>
          <w:jc w:val="center"/>
        </w:trPr>
        <w:tc>
          <w:tcPr>
            <w:tcW w:w="2593"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项目预算</w:t>
            </w:r>
            <w:r>
              <w:rPr>
                <w:b/>
                <w:bCs/>
                <w:color w:val="auto"/>
                <w:kern w:val="0"/>
                <w:sz w:val="20"/>
                <w:szCs w:val="20"/>
                <w:lang w:bidi="ar"/>
              </w:rPr>
              <w:br w:type="textWrapping"/>
            </w:r>
            <w:r>
              <w:rPr>
                <w:b/>
                <w:bCs/>
                <w:color w:val="auto"/>
                <w:kern w:val="0"/>
                <w:sz w:val="20"/>
                <w:szCs w:val="20"/>
                <w:lang w:bidi="ar"/>
              </w:rPr>
              <w:t>执行情况</w:t>
            </w:r>
            <w:r>
              <w:rPr>
                <w:b/>
                <w:bCs/>
                <w:color w:val="auto"/>
                <w:kern w:val="0"/>
                <w:sz w:val="20"/>
                <w:szCs w:val="20"/>
                <w:lang w:bidi="ar"/>
              </w:rPr>
              <w:br w:type="textWrapping"/>
            </w:r>
            <w:r>
              <w:rPr>
                <w:b/>
                <w:bCs/>
                <w:color w:val="auto"/>
                <w:kern w:val="0"/>
                <w:sz w:val="20"/>
                <w:szCs w:val="20"/>
                <w:lang w:bidi="ar"/>
              </w:rPr>
              <w:t>（万元）</w:t>
            </w:r>
          </w:p>
        </w:tc>
        <w:tc>
          <w:tcPr>
            <w:tcW w:w="16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0"/>
                <w:szCs w:val="20"/>
              </w:rPr>
            </w:pPr>
            <w:r>
              <w:rPr>
                <w:b/>
                <w:bCs/>
                <w:color w:val="auto"/>
                <w:kern w:val="0"/>
                <w:sz w:val="20"/>
                <w:szCs w:val="20"/>
                <w:lang w:bidi="ar"/>
              </w:rPr>
              <w:t>预算数：</w:t>
            </w:r>
          </w:p>
        </w:tc>
        <w:tc>
          <w:tcPr>
            <w:tcW w:w="11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103</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0"/>
                <w:szCs w:val="20"/>
              </w:rPr>
            </w:pPr>
            <w:r>
              <w:rPr>
                <w:b/>
                <w:bCs/>
                <w:color w:val="auto"/>
                <w:kern w:val="0"/>
                <w:sz w:val="20"/>
                <w:szCs w:val="20"/>
                <w:lang w:bidi="ar"/>
              </w:rPr>
              <w:t>执行数：</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97.6</w:t>
            </w:r>
          </w:p>
        </w:tc>
      </w:tr>
      <w:tr>
        <w:tblPrEx>
          <w:tblCellMar>
            <w:top w:w="0" w:type="dxa"/>
            <w:left w:w="108" w:type="dxa"/>
            <w:bottom w:w="0" w:type="dxa"/>
            <w:right w:w="108" w:type="dxa"/>
          </w:tblCellMar>
        </w:tblPrEx>
        <w:trPr>
          <w:gridBefore w:val="1"/>
          <w:gridAfter w:val="1"/>
          <w:wBefore w:w="697" w:type="dxa"/>
          <w:wAfter w:w="698" w:type="dxa"/>
          <w:trHeight w:val="372" w:hRule="atLeast"/>
          <w:jc w:val="center"/>
        </w:trPr>
        <w:tc>
          <w:tcPr>
            <w:tcW w:w="259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6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0"/>
                <w:szCs w:val="20"/>
              </w:rPr>
            </w:pPr>
            <w:r>
              <w:rPr>
                <w:b/>
                <w:bCs/>
                <w:color w:val="auto"/>
                <w:kern w:val="0"/>
                <w:sz w:val="20"/>
                <w:szCs w:val="20"/>
                <w:lang w:bidi="ar"/>
              </w:rPr>
              <w:t>其中：财政拨款</w:t>
            </w:r>
          </w:p>
        </w:tc>
        <w:tc>
          <w:tcPr>
            <w:tcW w:w="11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103</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0"/>
                <w:szCs w:val="20"/>
              </w:rPr>
            </w:pPr>
            <w:r>
              <w:rPr>
                <w:b/>
                <w:bCs/>
                <w:color w:val="auto"/>
                <w:kern w:val="0"/>
                <w:sz w:val="20"/>
                <w:szCs w:val="20"/>
                <w:lang w:bidi="ar"/>
              </w:rPr>
              <w:t>其中：财政拨款</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97.6</w:t>
            </w:r>
          </w:p>
        </w:tc>
      </w:tr>
      <w:tr>
        <w:tblPrEx>
          <w:tblCellMar>
            <w:top w:w="0" w:type="dxa"/>
            <w:left w:w="108" w:type="dxa"/>
            <w:bottom w:w="0" w:type="dxa"/>
            <w:right w:w="108" w:type="dxa"/>
          </w:tblCellMar>
        </w:tblPrEx>
        <w:trPr>
          <w:gridBefore w:val="1"/>
          <w:gridAfter w:val="1"/>
          <w:wBefore w:w="697" w:type="dxa"/>
          <w:wAfter w:w="698" w:type="dxa"/>
          <w:trHeight w:val="372" w:hRule="atLeast"/>
          <w:jc w:val="center"/>
        </w:trPr>
        <w:tc>
          <w:tcPr>
            <w:tcW w:w="259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6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0"/>
                <w:szCs w:val="20"/>
              </w:rPr>
            </w:pPr>
            <w:r>
              <w:rPr>
                <w:b/>
                <w:bCs/>
                <w:color w:val="auto"/>
                <w:kern w:val="0"/>
                <w:sz w:val="20"/>
                <w:szCs w:val="20"/>
                <w:lang w:bidi="ar"/>
              </w:rPr>
              <w:t xml:space="preserve">     其他资金</w:t>
            </w:r>
          </w:p>
        </w:tc>
        <w:tc>
          <w:tcPr>
            <w:tcW w:w="11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0</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0"/>
                <w:szCs w:val="20"/>
              </w:rPr>
            </w:pPr>
            <w:r>
              <w:rPr>
                <w:b/>
                <w:bCs/>
                <w:color w:val="auto"/>
                <w:kern w:val="0"/>
                <w:sz w:val="20"/>
                <w:szCs w:val="20"/>
                <w:lang w:bidi="ar"/>
              </w:rPr>
              <w:t xml:space="preserve">     其他资金</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0</w:t>
            </w:r>
          </w:p>
        </w:tc>
      </w:tr>
      <w:tr>
        <w:tblPrEx>
          <w:tblCellMar>
            <w:top w:w="0" w:type="dxa"/>
            <w:left w:w="108" w:type="dxa"/>
            <w:bottom w:w="0" w:type="dxa"/>
            <w:right w:w="108" w:type="dxa"/>
          </w:tblCellMar>
        </w:tblPrEx>
        <w:trPr>
          <w:gridBefore w:val="1"/>
          <w:gridAfter w:val="1"/>
          <w:wBefore w:w="697" w:type="dxa"/>
          <w:wAfter w:w="698" w:type="dxa"/>
          <w:trHeight w:val="441" w:hRule="atLeast"/>
          <w:jc w:val="center"/>
        </w:trPr>
        <w:tc>
          <w:tcPr>
            <w:tcW w:w="14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eastAsia="宋体"/>
                <w:b/>
                <w:bCs/>
                <w:color w:val="auto"/>
                <w:sz w:val="20"/>
                <w:szCs w:val="20"/>
                <w:lang w:val="en-US" w:eastAsia="zh-CN"/>
              </w:rPr>
            </w:pPr>
            <w:r>
              <w:rPr>
                <w:b/>
                <w:bCs/>
                <w:color w:val="auto"/>
                <w:kern w:val="0"/>
                <w:sz w:val="20"/>
                <w:szCs w:val="20"/>
                <w:lang w:bidi="ar"/>
              </w:rPr>
              <w:t>年度总体目标完成</w:t>
            </w:r>
            <w:r>
              <w:rPr>
                <w:rFonts w:hint="eastAsia"/>
                <w:b/>
                <w:bCs/>
                <w:color w:val="auto"/>
                <w:kern w:val="0"/>
                <w:sz w:val="20"/>
                <w:szCs w:val="20"/>
                <w:lang w:eastAsia="zh-CN" w:bidi="ar"/>
              </w:rPr>
              <w:t>情况</w:t>
            </w:r>
          </w:p>
        </w:tc>
        <w:tc>
          <w:tcPr>
            <w:tcW w:w="394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预期目标</w:t>
            </w:r>
          </w:p>
        </w:tc>
        <w:tc>
          <w:tcPr>
            <w:tcW w:w="33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目标实际完成情况</w:t>
            </w:r>
          </w:p>
        </w:tc>
      </w:tr>
      <w:tr>
        <w:tblPrEx>
          <w:tblCellMar>
            <w:top w:w="0" w:type="dxa"/>
            <w:left w:w="108" w:type="dxa"/>
            <w:bottom w:w="0" w:type="dxa"/>
            <w:right w:w="108" w:type="dxa"/>
          </w:tblCellMar>
        </w:tblPrEx>
        <w:trPr>
          <w:gridBefore w:val="1"/>
          <w:gridAfter w:val="1"/>
          <w:wBefore w:w="697" w:type="dxa"/>
          <w:wAfter w:w="698" w:type="dxa"/>
          <w:trHeight w:val="1095" w:hRule="atLeast"/>
          <w:jc w:val="center"/>
        </w:trPr>
        <w:tc>
          <w:tcPr>
            <w:tcW w:w="14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394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健全代表履职保障机制，全面提升人大代表履职能力，夯实代表履职基础，充分发挥代表作用。</w:t>
            </w:r>
          </w:p>
        </w:tc>
        <w:tc>
          <w:tcPr>
            <w:tcW w:w="33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健全了代表履职保障机制，全面提升了人大代表履职能力，夯实了代表履职基础，充分发挥了代表作用。</w:t>
            </w:r>
          </w:p>
        </w:tc>
      </w:tr>
      <w:tr>
        <w:tblPrEx>
          <w:tblCellMar>
            <w:top w:w="0" w:type="dxa"/>
            <w:left w:w="108" w:type="dxa"/>
            <w:bottom w:w="0" w:type="dxa"/>
            <w:right w:w="108" w:type="dxa"/>
          </w:tblCellMar>
        </w:tblPrEx>
        <w:trPr>
          <w:gridBefore w:val="1"/>
          <w:gridAfter w:val="1"/>
          <w:wBefore w:w="697" w:type="dxa"/>
          <w:wAfter w:w="698" w:type="dxa"/>
          <w:trHeight w:val="419" w:hRule="atLeast"/>
          <w:jc w:val="center"/>
        </w:trPr>
        <w:tc>
          <w:tcPr>
            <w:tcW w:w="14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年度绩效指标完成情况</w:t>
            </w:r>
          </w:p>
        </w:tc>
        <w:tc>
          <w:tcPr>
            <w:tcW w:w="113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一级指标</w:t>
            </w:r>
          </w:p>
        </w:tc>
        <w:tc>
          <w:tcPr>
            <w:tcW w:w="11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二级指标</w:t>
            </w:r>
          </w:p>
        </w:tc>
        <w:tc>
          <w:tcPr>
            <w:tcW w:w="17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三级指标</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预期指标值</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实际完成指标值</w:t>
            </w:r>
          </w:p>
        </w:tc>
      </w:tr>
      <w:tr>
        <w:tblPrEx>
          <w:tblCellMar>
            <w:top w:w="0" w:type="dxa"/>
            <w:left w:w="108" w:type="dxa"/>
            <w:bottom w:w="0" w:type="dxa"/>
            <w:right w:w="108" w:type="dxa"/>
          </w:tblCellMar>
        </w:tblPrEx>
        <w:trPr>
          <w:gridBefore w:val="1"/>
          <w:gridAfter w:val="1"/>
          <w:wBefore w:w="697" w:type="dxa"/>
          <w:wAfter w:w="698" w:type="dxa"/>
          <w:trHeight w:val="734" w:hRule="atLeast"/>
          <w:jc w:val="center"/>
        </w:trPr>
        <w:tc>
          <w:tcPr>
            <w:tcW w:w="14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33"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完</w:t>
            </w:r>
            <w:r>
              <w:rPr>
                <w:b/>
                <w:bCs/>
                <w:color w:val="auto"/>
                <w:kern w:val="0"/>
                <w:sz w:val="20"/>
                <w:szCs w:val="20"/>
                <w:lang w:bidi="ar"/>
              </w:rPr>
              <w:br w:type="textWrapping"/>
            </w:r>
            <w:r>
              <w:rPr>
                <w:b/>
                <w:bCs/>
                <w:color w:val="auto"/>
                <w:kern w:val="0"/>
                <w:sz w:val="20"/>
                <w:szCs w:val="20"/>
                <w:lang w:bidi="ar"/>
              </w:rPr>
              <w:t>成</w:t>
            </w:r>
            <w:r>
              <w:rPr>
                <w:b/>
                <w:bCs/>
                <w:color w:val="auto"/>
                <w:kern w:val="0"/>
                <w:sz w:val="20"/>
                <w:szCs w:val="20"/>
                <w:lang w:bidi="ar"/>
              </w:rPr>
              <w:br w:type="textWrapping"/>
            </w:r>
            <w:r>
              <w:rPr>
                <w:b/>
                <w:bCs/>
                <w:color w:val="auto"/>
                <w:kern w:val="0"/>
                <w:sz w:val="20"/>
                <w:szCs w:val="20"/>
                <w:lang w:bidi="ar"/>
              </w:rPr>
              <w:t>指</w:t>
            </w:r>
            <w:r>
              <w:rPr>
                <w:b/>
                <w:bCs/>
                <w:color w:val="auto"/>
                <w:kern w:val="0"/>
                <w:sz w:val="20"/>
                <w:szCs w:val="20"/>
                <w:lang w:bidi="ar"/>
              </w:rPr>
              <w:br w:type="textWrapping"/>
            </w:r>
            <w:r>
              <w:rPr>
                <w:b/>
                <w:bCs/>
                <w:color w:val="auto"/>
                <w:kern w:val="0"/>
                <w:sz w:val="20"/>
                <w:szCs w:val="20"/>
                <w:lang w:bidi="ar"/>
              </w:rPr>
              <w:t>标</w:t>
            </w:r>
          </w:p>
        </w:tc>
        <w:tc>
          <w:tcPr>
            <w:tcW w:w="110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数量指标</w:t>
            </w:r>
          </w:p>
        </w:tc>
        <w:tc>
          <w:tcPr>
            <w:tcW w:w="17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代表培训人次</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kern w:val="0"/>
                <w:sz w:val="20"/>
                <w:szCs w:val="20"/>
                <w:lang w:bidi="ar"/>
              </w:rPr>
            </w:pPr>
            <w:r>
              <w:rPr>
                <w:b/>
                <w:bCs/>
                <w:color w:val="auto"/>
                <w:kern w:val="0"/>
                <w:sz w:val="20"/>
                <w:szCs w:val="20"/>
                <w:lang w:bidi="ar"/>
              </w:rPr>
              <w:t>大于等于</w:t>
            </w:r>
          </w:p>
          <w:p>
            <w:pPr>
              <w:widowControl/>
              <w:jc w:val="center"/>
              <w:textAlignment w:val="center"/>
              <w:rPr>
                <w:b/>
                <w:bCs/>
                <w:color w:val="auto"/>
                <w:sz w:val="20"/>
                <w:szCs w:val="20"/>
              </w:rPr>
            </w:pPr>
            <w:r>
              <w:rPr>
                <w:b/>
                <w:bCs/>
                <w:color w:val="auto"/>
                <w:kern w:val="0"/>
                <w:sz w:val="20"/>
                <w:szCs w:val="20"/>
                <w:lang w:bidi="ar"/>
              </w:rPr>
              <w:t>200人次</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eastAsia="宋体"/>
                <w:b/>
                <w:bCs/>
                <w:color w:val="auto"/>
                <w:sz w:val="20"/>
                <w:szCs w:val="20"/>
                <w:lang w:eastAsia="zh-CN"/>
              </w:rPr>
            </w:pPr>
            <w:r>
              <w:rPr>
                <w:b/>
                <w:bCs/>
                <w:color w:val="auto"/>
                <w:kern w:val="0"/>
                <w:sz w:val="20"/>
                <w:szCs w:val="20"/>
                <w:lang w:bidi="ar"/>
              </w:rPr>
              <w:t>大于200</w:t>
            </w:r>
            <w:r>
              <w:rPr>
                <w:rFonts w:hint="eastAsia"/>
                <w:b/>
                <w:bCs/>
                <w:color w:val="auto"/>
                <w:kern w:val="0"/>
                <w:sz w:val="20"/>
                <w:szCs w:val="20"/>
                <w:lang w:eastAsia="zh-CN" w:bidi="ar"/>
              </w:rPr>
              <w:t>人次</w:t>
            </w:r>
          </w:p>
        </w:tc>
      </w:tr>
      <w:tr>
        <w:tblPrEx>
          <w:tblCellMar>
            <w:top w:w="0" w:type="dxa"/>
            <w:left w:w="108" w:type="dxa"/>
            <w:bottom w:w="0" w:type="dxa"/>
            <w:right w:w="108" w:type="dxa"/>
          </w:tblCellMar>
        </w:tblPrEx>
        <w:trPr>
          <w:gridBefore w:val="1"/>
          <w:gridAfter w:val="1"/>
          <w:wBefore w:w="697" w:type="dxa"/>
          <w:wAfter w:w="698" w:type="dxa"/>
          <w:trHeight w:val="734" w:hRule="atLeast"/>
          <w:jc w:val="center"/>
        </w:trPr>
        <w:tc>
          <w:tcPr>
            <w:tcW w:w="14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33"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jc w:val="center"/>
              <w:rPr>
                <w:b/>
                <w:bCs/>
                <w:color w:val="auto"/>
                <w:sz w:val="20"/>
                <w:szCs w:val="20"/>
              </w:rPr>
            </w:pPr>
          </w:p>
        </w:tc>
        <w:tc>
          <w:tcPr>
            <w:tcW w:w="110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7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开展代表集中</w:t>
            </w:r>
            <w:r>
              <w:rPr>
                <w:b/>
                <w:bCs/>
                <w:color w:val="auto"/>
                <w:kern w:val="0"/>
                <w:sz w:val="20"/>
                <w:szCs w:val="20"/>
                <w:lang w:bidi="ar"/>
              </w:rPr>
              <w:br w:type="textWrapping"/>
            </w:r>
            <w:r>
              <w:rPr>
                <w:b/>
                <w:bCs/>
                <w:color w:val="auto"/>
                <w:kern w:val="0"/>
                <w:sz w:val="20"/>
                <w:szCs w:val="20"/>
                <w:lang w:bidi="ar"/>
              </w:rPr>
              <w:t>培训期数</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1期</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eastAsia="宋体"/>
                <w:b/>
                <w:bCs/>
                <w:color w:val="auto"/>
                <w:sz w:val="20"/>
                <w:szCs w:val="20"/>
                <w:lang w:eastAsia="zh-CN"/>
              </w:rPr>
            </w:pPr>
            <w:r>
              <w:rPr>
                <w:b/>
                <w:bCs/>
                <w:color w:val="auto"/>
                <w:kern w:val="0"/>
                <w:sz w:val="20"/>
                <w:szCs w:val="20"/>
                <w:lang w:bidi="ar"/>
              </w:rPr>
              <w:t>2</w:t>
            </w:r>
            <w:r>
              <w:rPr>
                <w:rFonts w:hint="eastAsia"/>
                <w:b/>
                <w:bCs/>
                <w:color w:val="auto"/>
                <w:kern w:val="0"/>
                <w:sz w:val="20"/>
                <w:szCs w:val="20"/>
                <w:lang w:eastAsia="zh-CN" w:bidi="ar"/>
              </w:rPr>
              <w:t>期</w:t>
            </w:r>
          </w:p>
        </w:tc>
      </w:tr>
      <w:tr>
        <w:tblPrEx>
          <w:tblCellMar>
            <w:top w:w="0" w:type="dxa"/>
            <w:left w:w="108" w:type="dxa"/>
            <w:bottom w:w="0" w:type="dxa"/>
            <w:right w:w="108" w:type="dxa"/>
          </w:tblCellMar>
        </w:tblPrEx>
        <w:trPr>
          <w:gridBefore w:val="1"/>
          <w:gridAfter w:val="1"/>
          <w:wBefore w:w="697" w:type="dxa"/>
          <w:wAfter w:w="698" w:type="dxa"/>
          <w:trHeight w:val="441" w:hRule="atLeast"/>
          <w:jc w:val="center"/>
        </w:trPr>
        <w:tc>
          <w:tcPr>
            <w:tcW w:w="14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33"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jc w:val="center"/>
              <w:rPr>
                <w:b/>
                <w:bCs/>
                <w:color w:val="auto"/>
                <w:sz w:val="20"/>
                <w:szCs w:val="20"/>
              </w:rPr>
            </w:pPr>
          </w:p>
        </w:tc>
        <w:tc>
          <w:tcPr>
            <w:tcW w:w="11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质量指标</w:t>
            </w:r>
          </w:p>
        </w:tc>
        <w:tc>
          <w:tcPr>
            <w:tcW w:w="17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代表履职率</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大于等于95%</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大于95%</w:t>
            </w:r>
          </w:p>
        </w:tc>
      </w:tr>
      <w:tr>
        <w:tblPrEx>
          <w:tblCellMar>
            <w:top w:w="0" w:type="dxa"/>
            <w:left w:w="108" w:type="dxa"/>
            <w:bottom w:w="0" w:type="dxa"/>
            <w:right w:w="108" w:type="dxa"/>
          </w:tblCellMar>
        </w:tblPrEx>
        <w:trPr>
          <w:gridBefore w:val="1"/>
          <w:gridAfter w:val="1"/>
          <w:wBefore w:w="697" w:type="dxa"/>
          <w:wAfter w:w="698" w:type="dxa"/>
          <w:trHeight w:val="441" w:hRule="atLeast"/>
          <w:jc w:val="center"/>
        </w:trPr>
        <w:tc>
          <w:tcPr>
            <w:tcW w:w="14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33"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jc w:val="center"/>
              <w:rPr>
                <w:b/>
                <w:bCs/>
                <w:color w:val="auto"/>
                <w:sz w:val="20"/>
                <w:szCs w:val="20"/>
              </w:rPr>
            </w:pPr>
          </w:p>
        </w:tc>
        <w:tc>
          <w:tcPr>
            <w:tcW w:w="11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时效指标</w:t>
            </w:r>
          </w:p>
        </w:tc>
        <w:tc>
          <w:tcPr>
            <w:tcW w:w="17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完成时间</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2020年12月</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2020年12月</w:t>
            </w:r>
          </w:p>
        </w:tc>
      </w:tr>
      <w:tr>
        <w:tblPrEx>
          <w:tblCellMar>
            <w:top w:w="0" w:type="dxa"/>
            <w:left w:w="108" w:type="dxa"/>
            <w:bottom w:w="0" w:type="dxa"/>
            <w:right w:w="108" w:type="dxa"/>
          </w:tblCellMar>
        </w:tblPrEx>
        <w:trPr>
          <w:gridBefore w:val="1"/>
          <w:gridAfter w:val="1"/>
          <w:wBefore w:w="697" w:type="dxa"/>
          <w:wAfter w:w="698" w:type="dxa"/>
          <w:trHeight w:val="734" w:hRule="atLeast"/>
          <w:jc w:val="center"/>
        </w:trPr>
        <w:tc>
          <w:tcPr>
            <w:tcW w:w="14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33"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jc w:val="center"/>
              <w:rPr>
                <w:b/>
                <w:bCs/>
                <w:color w:val="auto"/>
                <w:sz w:val="20"/>
                <w:szCs w:val="20"/>
              </w:rPr>
            </w:pPr>
          </w:p>
        </w:tc>
        <w:tc>
          <w:tcPr>
            <w:tcW w:w="110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成本指标</w:t>
            </w:r>
          </w:p>
        </w:tc>
        <w:tc>
          <w:tcPr>
            <w:tcW w:w="17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按照培训费标准开支</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每人每天650元</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每人每天650元</w:t>
            </w:r>
          </w:p>
        </w:tc>
      </w:tr>
      <w:tr>
        <w:tblPrEx>
          <w:tblCellMar>
            <w:top w:w="0" w:type="dxa"/>
            <w:left w:w="108" w:type="dxa"/>
            <w:bottom w:w="0" w:type="dxa"/>
            <w:right w:w="108" w:type="dxa"/>
          </w:tblCellMar>
        </w:tblPrEx>
        <w:trPr>
          <w:gridBefore w:val="1"/>
          <w:gridAfter w:val="1"/>
          <w:wBefore w:w="697" w:type="dxa"/>
          <w:wAfter w:w="698" w:type="dxa"/>
          <w:trHeight w:val="577" w:hRule="atLeast"/>
          <w:jc w:val="center"/>
        </w:trPr>
        <w:tc>
          <w:tcPr>
            <w:tcW w:w="14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33"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jc w:val="center"/>
              <w:rPr>
                <w:b/>
                <w:bCs/>
                <w:color w:val="auto"/>
                <w:sz w:val="20"/>
                <w:szCs w:val="20"/>
              </w:rPr>
            </w:pPr>
          </w:p>
        </w:tc>
        <w:tc>
          <w:tcPr>
            <w:tcW w:w="110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7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经费开支额度</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预算内开支</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b/>
                <w:bCs/>
                <w:color w:val="auto"/>
                <w:sz w:val="20"/>
                <w:szCs w:val="20"/>
                <w:lang w:val="en-US" w:eastAsia="zh-CN"/>
              </w:rPr>
            </w:pPr>
            <w:r>
              <w:rPr>
                <w:rFonts w:hint="eastAsia"/>
                <w:b/>
                <w:bCs/>
                <w:color w:val="auto"/>
                <w:kern w:val="0"/>
                <w:sz w:val="20"/>
                <w:szCs w:val="20"/>
                <w:lang w:val="en-US" w:eastAsia="zh-CN" w:bidi="ar"/>
              </w:rPr>
              <w:t>97.6万元</w:t>
            </w:r>
          </w:p>
        </w:tc>
      </w:tr>
      <w:tr>
        <w:tblPrEx>
          <w:tblCellMar>
            <w:top w:w="0" w:type="dxa"/>
            <w:left w:w="108" w:type="dxa"/>
            <w:bottom w:w="0" w:type="dxa"/>
            <w:right w:w="108" w:type="dxa"/>
          </w:tblCellMar>
        </w:tblPrEx>
        <w:trPr>
          <w:gridBefore w:val="1"/>
          <w:gridAfter w:val="1"/>
          <w:wBefore w:w="697" w:type="dxa"/>
          <w:wAfter w:w="698" w:type="dxa"/>
          <w:trHeight w:val="734" w:hRule="atLeast"/>
          <w:jc w:val="center"/>
        </w:trPr>
        <w:tc>
          <w:tcPr>
            <w:tcW w:w="14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33"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效</w:t>
            </w:r>
            <w:r>
              <w:rPr>
                <w:b/>
                <w:bCs/>
                <w:color w:val="auto"/>
                <w:kern w:val="0"/>
                <w:sz w:val="20"/>
                <w:szCs w:val="20"/>
                <w:lang w:bidi="ar"/>
              </w:rPr>
              <w:br w:type="textWrapping"/>
            </w:r>
            <w:r>
              <w:rPr>
                <w:b/>
                <w:bCs/>
                <w:color w:val="auto"/>
                <w:kern w:val="0"/>
                <w:sz w:val="20"/>
                <w:szCs w:val="20"/>
                <w:lang w:bidi="ar"/>
              </w:rPr>
              <w:t>益</w:t>
            </w:r>
            <w:r>
              <w:rPr>
                <w:b/>
                <w:bCs/>
                <w:color w:val="auto"/>
                <w:kern w:val="0"/>
                <w:sz w:val="20"/>
                <w:szCs w:val="20"/>
                <w:lang w:bidi="ar"/>
              </w:rPr>
              <w:br w:type="textWrapping"/>
            </w:r>
            <w:r>
              <w:rPr>
                <w:b/>
                <w:bCs/>
                <w:color w:val="auto"/>
                <w:kern w:val="0"/>
                <w:sz w:val="20"/>
                <w:szCs w:val="20"/>
                <w:lang w:bidi="ar"/>
              </w:rPr>
              <w:t>指</w:t>
            </w:r>
            <w:r>
              <w:rPr>
                <w:b/>
                <w:bCs/>
                <w:color w:val="auto"/>
                <w:kern w:val="0"/>
                <w:sz w:val="20"/>
                <w:szCs w:val="20"/>
                <w:lang w:bidi="ar"/>
              </w:rPr>
              <w:br w:type="textWrapping"/>
            </w:r>
            <w:r>
              <w:rPr>
                <w:b/>
                <w:bCs/>
                <w:color w:val="auto"/>
                <w:kern w:val="0"/>
                <w:sz w:val="20"/>
                <w:szCs w:val="20"/>
                <w:lang w:bidi="ar"/>
              </w:rPr>
              <w:t>标</w:t>
            </w:r>
          </w:p>
        </w:tc>
        <w:tc>
          <w:tcPr>
            <w:tcW w:w="11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经济效益</w:t>
            </w:r>
            <w:r>
              <w:rPr>
                <w:b/>
                <w:bCs/>
                <w:color w:val="auto"/>
                <w:kern w:val="0"/>
                <w:sz w:val="20"/>
                <w:szCs w:val="20"/>
                <w:lang w:bidi="ar"/>
              </w:rPr>
              <w:br w:type="textWrapping"/>
            </w:r>
            <w:r>
              <w:rPr>
                <w:b/>
                <w:bCs/>
                <w:color w:val="auto"/>
                <w:kern w:val="0"/>
                <w:sz w:val="20"/>
                <w:szCs w:val="20"/>
                <w:lang w:bidi="ar"/>
              </w:rPr>
              <w:t>指标</w:t>
            </w:r>
          </w:p>
        </w:tc>
        <w:tc>
          <w:tcPr>
            <w:tcW w:w="17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r>
      <w:tr>
        <w:tblPrEx>
          <w:tblCellMar>
            <w:top w:w="0" w:type="dxa"/>
            <w:left w:w="108" w:type="dxa"/>
            <w:bottom w:w="0" w:type="dxa"/>
            <w:right w:w="108" w:type="dxa"/>
          </w:tblCellMar>
        </w:tblPrEx>
        <w:trPr>
          <w:gridBefore w:val="1"/>
          <w:gridAfter w:val="1"/>
          <w:wBefore w:w="697" w:type="dxa"/>
          <w:wAfter w:w="698" w:type="dxa"/>
          <w:trHeight w:val="1095" w:hRule="atLeast"/>
          <w:jc w:val="center"/>
        </w:trPr>
        <w:tc>
          <w:tcPr>
            <w:tcW w:w="14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33"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jc w:val="center"/>
              <w:rPr>
                <w:b/>
                <w:bCs/>
                <w:color w:val="auto"/>
                <w:sz w:val="20"/>
                <w:szCs w:val="20"/>
              </w:rPr>
            </w:pPr>
          </w:p>
        </w:tc>
        <w:tc>
          <w:tcPr>
            <w:tcW w:w="11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社会效益</w:t>
            </w:r>
            <w:r>
              <w:rPr>
                <w:b/>
                <w:bCs/>
                <w:color w:val="auto"/>
                <w:kern w:val="0"/>
                <w:sz w:val="20"/>
                <w:szCs w:val="20"/>
                <w:lang w:bidi="ar"/>
              </w:rPr>
              <w:br w:type="textWrapping"/>
            </w:r>
            <w:r>
              <w:rPr>
                <w:b/>
                <w:bCs/>
                <w:color w:val="auto"/>
                <w:kern w:val="0"/>
                <w:sz w:val="20"/>
                <w:szCs w:val="20"/>
                <w:lang w:bidi="ar"/>
              </w:rPr>
              <w:t>指标</w:t>
            </w:r>
          </w:p>
        </w:tc>
        <w:tc>
          <w:tcPr>
            <w:tcW w:w="17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kern w:val="0"/>
                <w:sz w:val="20"/>
                <w:szCs w:val="20"/>
                <w:lang w:bidi="ar"/>
              </w:rPr>
            </w:pPr>
            <w:r>
              <w:rPr>
                <w:b/>
                <w:bCs/>
                <w:color w:val="auto"/>
                <w:kern w:val="0"/>
                <w:sz w:val="20"/>
                <w:szCs w:val="20"/>
                <w:lang w:bidi="ar"/>
              </w:rPr>
              <w:t>对工作的促进</w:t>
            </w:r>
          </w:p>
          <w:p>
            <w:pPr>
              <w:widowControl/>
              <w:jc w:val="center"/>
              <w:textAlignment w:val="center"/>
              <w:rPr>
                <w:b/>
                <w:bCs/>
                <w:color w:val="auto"/>
                <w:sz w:val="20"/>
                <w:szCs w:val="20"/>
              </w:rPr>
            </w:pPr>
            <w:r>
              <w:rPr>
                <w:b/>
                <w:bCs/>
                <w:color w:val="auto"/>
                <w:kern w:val="0"/>
                <w:sz w:val="20"/>
                <w:szCs w:val="20"/>
                <w:lang w:bidi="ar"/>
              </w:rPr>
              <w:t>作用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提高代表履职能力和水平</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通过组织代表培训，提升了代表履职能力和水平</w:t>
            </w:r>
          </w:p>
        </w:tc>
      </w:tr>
      <w:tr>
        <w:tblPrEx>
          <w:tblCellMar>
            <w:top w:w="0" w:type="dxa"/>
            <w:left w:w="108" w:type="dxa"/>
            <w:bottom w:w="0" w:type="dxa"/>
            <w:right w:w="108" w:type="dxa"/>
          </w:tblCellMar>
        </w:tblPrEx>
        <w:trPr>
          <w:gridBefore w:val="1"/>
          <w:gridAfter w:val="1"/>
          <w:wBefore w:w="697" w:type="dxa"/>
          <w:wAfter w:w="698" w:type="dxa"/>
          <w:trHeight w:val="734" w:hRule="atLeast"/>
          <w:jc w:val="center"/>
        </w:trPr>
        <w:tc>
          <w:tcPr>
            <w:tcW w:w="14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33"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jc w:val="center"/>
              <w:rPr>
                <w:b/>
                <w:bCs/>
                <w:color w:val="auto"/>
                <w:sz w:val="20"/>
                <w:szCs w:val="20"/>
              </w:rPr>
            </w:pPr>
          </w:p>
        </w:tc>
        <w:tc>
          <w:tcPr>
            <w:tcW w:w="11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生态效益</w:t>
            </w:r>
            <w:r>
              <w:rPr>
                <w:b/>
                <w:bCs/>
                <w:color w:val="auto"/>
                <w:kern w:val="0"/>
                <w:sz w:val="20"/>
                <w:szCs w:val="20"/>
                <w:lang w:bidi="ar"/>
              </w:rPr>
              <w:br w:type="textWrapping"/>
            </w:r>
            <w:r>
              <w:rPr>
                <w:b/>
                <w:bCs/>
                <w:color w:val="auto"/>
                <w:kern w:val="0"/>
                <w:sz w:val="20"/>
                <w:szCs w:val="20"/>
                <w:lang w:bidi="ar"/>
              </w:rPr>
              <w:t>指标</w:t>
            </w:r>
          </w:p>
        </w:tc>
        <w:tc>
          <w:tcPr>
            <w:tcW w:w="17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r>
      <w:tr>
        <w:tblPrEx>
          <w:tblCellMar>
            <w:top w:w="0" w:type="dxa"/>
            <w:left w:w="108" w:type="dxa"/>
            <w:bottom w:w="0" w:type="dxa"/>
            <w:right w:w="108" w:type="dxa"/>
          </w:tblCellMar>
        </w:tblPrEx>
        <w:trPr>
          <w:gridBefore w:val="1"/>
          <w:gridAfter w:val="1"/>
          <w:wBefore w:w="697" w:type="dxa"/>
          <w:wAfter w:w="698" w:type="dxa"/>
          <w:trHeight w:val="734" w:hRule="atLeast"/>
          <w:jc w:val="center"/>
        </w:trPr>
        <w:tc>
          <w:tcPr>
            <w:tcW w:w="14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33"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jc w:val="center"/>
              <w:rPr>
                <w:b/>
                <w:bCs/>
                <w:color w:val="auto"/>
                <w:sz w:val="20"/>
                <w:szCs w:val="20"/>
              </w:rPr>
            </w:pPr>
          </w:p>
        </w:tc>
        <w:tc>
          <w:tcPr>
            <w:tcW w:w="11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可持续影响指标</w:t>
            </w:r>
          </w:p>
        </w:tc>
        <w:tc>
          <w:tcPr>
            <w:tcW w:w="17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产生的影响</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长期持续</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长期持续</w:t>
            </w:r>
          </w:p>
        </w:tc>
      </w:tr>
      <w:tr>
        <w:tblPrEx>
          <w:tblCellMar>
            <w:top w:w="0" w:type="dxa"/>
            <w:left w:w="108" w:type="dxa"/>
            <w:bottom w:w="0" w:type="dxa"/>
            <w:right w:w="108" w:type="dxa"/>
          </w:tblCellMar>
        </w:tblPrEx>
        <w:trPr>
          <w:gridBefore w:val="1"/>
          <w:gridAfter w:val="1"/>
          <w:wBefore w:w="697" w:type="dxa"/>
          <w:wAfter w:w="698" w:type="dxa"/>
          <w:trHeight w:val="745" w:hRule="atLeast"/>
          <w:jc w:val="center"/>
        </w:trPr>
        <w:tc>
          <w:tcPr>
            <w:tcW w:w="14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0"/>
                <w:szCs w:val="20"/>
              </w:rPr>
            </w:pPr>
          </w:p>
        </w:tc>
        <w:tc>
          <w:tcPr>
            <w:tcW w:w="113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b/>
                <w:bCs/>
                <w:color w:val="auto"/>
                <w:kern w:val="0"/>
                <w:sz w:val="20"/>
                <w:szCs w:val="20"/>
                <w:lang w:bidi="ar"/>
              </w:rPr>
            </w:pPr>
            <w:r>
              <w:rPr>
                <w:b/>
                <w:bCs/>
                <w:color w:val="auto"/>
                <w:kern w:val="0"/>
                <w:sz w:val="20"/>
                <w:szCs w:val="20"/>
                <w:lang w:bidi="ar"/>
              </w:rPr>
              <w:t>满意度</w:t>
            </w:r>
          </w:p>
          <w:p>
            <w:pPr>
              <w:widowControl/>
              <w:jc w:val="center"/>
              <w:textAlignment w:val="center"/>
              <w:rPr>
                <w:b/>
                <w:bCs/>
                <w:color w:val="auto"/>
                <w:sz w:val="20"/>
                <w:szCs w:val="20"/>
              </w:rPr>
            </w:pPr>
            <w:r>
              <w:rPr>
                <w:b/>
                <w:bCs/>
                <w:color w:val="auto"/>
                <w:kern w:val="0"/>
                <w:sz w:val="20"/>
                <w:szCs w:val="20"/>
                <w:lang w:bidi="ar"/>
              </w:rPr>
              <w:t>指标</w:t>
            </w:r>
          </w:p>
        </w:tc>
        <w:tc>
          <w:tcPr>
            <w:tcW w:w="11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kern w:val="0"/>
                <w:sz w:val="20"/>
                <w:szCs w:val="20"/>
                <w:lang w:bidi="ar"/>
              </w:rPr>
            </w:pPr>
            <w:r>
              <w:rPr>
                <w:b/>
                <w:bCs/>
                <w:color w:val="auto"/>
                <w:kern w:val="0"/>
                <w:sz w:val="20"/>
                <w:szCs w:val="20"/>
                <w:lang w:bidi="ar"/>
              </w:rPr>
              <w:t>满意度</w:t>
            </w:r>
          </w:p>
          <w:p>
            <w:pPr>
              <w:widowControl/>
              <w:jc w:val="center"/>
              <w:textAlignment w:val="center"/>
              <w:rPr>
                <w:b/>
                <w:bCs/>
                <w:color w:val="auto"/>
                <w:sz w:val="20"/>
                <w:szCs w:val="20"/>
              </w:rPr>
            </w:pPr>
            <w:r>
              <w:rPr>
                <w:b/>
                <w:bCs/>
                <w:color w:val="auto"/>
                <w:kern w:val="0"/>
                <w:sz w:val="20"/>
                <w:szCs w:val="20"/>
                <w:lang w:bidi="ar"/>
              </w:rPr>
              <w:t>指标</w:t>
            </w:r>
          </w:p>
        </w:tc>
        <w:tc>
          <w:tcPr>
            <w:tcW w:w="17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服务代表满意度</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大于等于95%</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0"/>
                <w:szCs w:val="20"/>
              </w:rPr>
            </w:pPr>
            <w:r>
              <w:rPr>
                <w:b/>
                <w:bCs/>
                <w:color w:val="auto"/>
                <w:kern w:val="0"/>
                <w:sz w:val="20"/>
                <w:szCs w:val="20"/>
                <w:lang w:bidi="ar"/>
              </w:rPr>
              <w:t>大于95%</w:t>
            </w:r>
          </w:p>
        </w:tc>
      </w:tr>
    </w:tbl>
    <w:p>
      <w:pPr>
        <w:spacing w:line="580" w:lineRule="exact"/>
        <w:ind w:firstLine="643" w:firstLineChars="20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2.部门绩效评价结果。</w:t>
      </w:r>
    </w:p>
    <w:p>
      <w:pPr>
        <w:spacing w:line="580" w:lineRule="exact"/>
        <w:ind w:firstLine="643" w:firstLineChars="20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本部门按要求对2020年部门整体支出绩效评价情况开展自评，《2020年省人大常委会办公厅部门整体支出绩效评价报告》（</w:t>
      </w:r>
      <w:r>
        <w:rPr>
          <w:rFonts w:hint="eastAsia" w:ascii="方正仿宋简体" w:hAnsi="方正仿宋简体" w:eastAsia="方正仿宋简体" w:cs="方正仿宋简体"/>
          <w:b/>
          <w:bCs/>
          <w:color w:val="auto"/>
          <w:sz w:val="32"/>
          <w:szCs w:val="32"/>
          <w:highlight w:val="none"/>
          <w:lang w:eastAsia="zh-CN"/>
        </w:rPr>
        <w:t>见</w:t>
      </w:r>
      <w:r>
        <w:rPr>
          <w:rFonts w:hint="eastAsia" w:ascii="方正仿宋简体" w:hAnsi="方正仿宋简体" w:eastAsia="方正仿宋简体" w:cs="方正仿宋简体"/>
          <w:b/>
          <w:bCs/>
          <w:color w:val="auto"/>
          <w:sz w:val="32"/>
          <w:szCs w:val="32"/>
          <w:highlight w:val="none"/>
        </w:rPr>
        <w:t>附件1）。</w:t>
      </w:r>
    </w:p>
    <w:p>
      <w:pPr>
        <w:spacing w:line="580" w:lineRule="exact"/>
        <w:ind w:firstLine="643" w:firstLineChars="20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本部门自行组织对5个部门预算项目开展了绩效评价，公开1个项目的《2020年部门预算项目支出绩效自评报告》（</w:t>
      </w:r>
      <w:r>
        <w:rPr>
          <w:rFonts w:hint="eastAsia" w:ascii="方正仿宋简体" w:hAnsi="方正仿宋简体" w:eastAsia="方正仿宋简体" w:cs="方正仿宋简体"/>
          <w:b/>
          <w:bCs/>
          <w:color w:val="auto"/>
          <w:sz w:val="32"/>
          <w:szCs w:val="32"/>
          <w:highlight w:val="none"/>
          <w:lang w:eastAsia="zh-CN"/>
        </w:rPr>
        <w:t>见</w:t>
      </w:r>
      <w:r>
        <w:rPr>
          <w:rFonts w:hint="eastAsia" w:ascii="方正仿宋简体" w:hAnsi="方正仿宋简体" w:eastAsia="方正仿宋简体" w:cs="方正仿宋简体"/>
          <w:b/>
          <w:bCs/>
          <w:color w:val="auto"/>
          <w:sz w:val="32"/>
          <w:szCs w:val="32"/>
          <w:highlight w:val="none"/>
        </w:rPr>
        <w:t>附件2）。</w:t>
      </w:r>
    </w:p>
    <w:p>
      <w:pPr>
        <w:snapToGrid w:val="0"/>
        <w:spacing w:line="540" w:lineRule="exact"/>
        <w:ind w:firstLine="643" w:firstLineChars="200"/>
        <w:rPr>
          <w:rFonts w:eastAsia="楷体"/>
          <w:b/>
          <w:bCs/>
          <w:color w:val="auto"/>
          <w:sz w:val="32"/>
          <w:szCs w:val="32"/>
        </w:rPr>
      </w:pPr>
    </w:p>
    <w:p>
      <w:pPr>
        <w:pStyle w:val="2"/>
        <w:rPr>
          <w:rFonts w:eastAsia="楷体"/>
          <w:b/>
          <w:bCs/>
          <w:color w:val="auto"/>
          <w:sz w:val="32"/>
          <w:szCs w:val="32"/>
        </w:rPr>
      </w:pPr>
    </w:p>
    <w:p>
      <w:pPr>
        <w:pStyle w:val="2"/>
        <w:rPr>
          <w:rFonts w:eastAsia="楷体"/>
          <w:b/>
          <w:bCs/>
          <w:color w:val="auto"/>
          <w:sz w:val="32"/>
          <w:szCs w:val="32"/>
        </w:rPr>
      </w:pPr>
    </w:p>
    <w:p>
      <w:pPr>
        <w:pStyle w:val="2"/>
        <w:rPr>
          <w:rFonts w:eastAsia="楷体"/>
          <w:b/>
          <w:bCs/>
          <w:color w:val="auto"/>
          <w:sz w:val="32"/>
          <w:szCs w:val="32"/>
        </w:rPr>
      </w:pPr>
    </w:p>
    <w:p>
      <w:pPr>
        <w:pStyle w:val="2"/>
        <w:rPr>
          <w:rFonts w:eastAsia="楷体"/>
          <w:b/>
          <w:bCs/>
          <w:color w:val="auto"/>
          <w:sz w:val="32"/>
          <w:szCs w:val="32"/>
        </w:rPr>
      </w:pPr>
    </w:p>
    <w:p>
      <w:pPr>
        <w:pStyle w:val="2"/>
        <w:rPr>
          <w:rFonts w:eastAsia="楷体"/>
          <w:b/>
          <w:bCs/>
          <w:color w:val="auto"/>
          <w:sz w:val="32"/>
          <w:szCs w:val="32"/>
        </w:rPr>
      </w:pPr>
    </w:p>
    <w:p>
      <w:pPr>
        <w:pStyle w:val="2"/>
        <w:rPr>
          <w:rFonts w:eastAsia="楷体"/>
          <w:b/>
          <w:bCs/>
          <w:color w:val="auto"/>
          <w:sz w:val="32"/>
          <w:szCs w:val="32"/>
        </w:rPr>
      </w:pPr>
    </w:p>
    <w:p>
      <w:pPr>
        <w:pStyle w:val="2"/>
        <w:rPr>
          <w:rFonts w:eastAsia="楷体"/>
          <w:b/>
          <w:bCs/>
          <w:color w:val="auto"/>
          <w:sz w:val="32"/>
          <w:szCs w:val="32"/>
        </w:rPr>
      </w:pPr>
    </w:p>
    <w:p>
      <w:pPr>
        <w:pStyle w:val="2"/>
        <w:rPr>
          <w:rFonts w:eastAsia="楷体"/>
          <w:b/>
          <w:bCs/>
          <w:color w:val="auto"/>
          <w:sz w:val="32"/>
          <w:szCs w:val="32"/>
        </w:rPr>
      </w:pPr>
    </w:p>
    <w:p>
      <w:pPr>
        <w:pStyle w:val="2"/>
        <w:rPr>
          <w:rFonts w:eastAsia="楷体"/>
          <w:b/>
          <w:bCs/>
          <w:color w:val="auto"/>
          <w:sz w:val="32"/>
          <w:szCs w:val="32"/>
        </w:rPr>
      </w:pPr>
    </w:p>
    <w:p>
      <w:pPr>
        <w:pStyle w:val="2"/>
        <w:rPr>
          <w:rFonts w:eastAsia="楷体"/>
          <w:b/>
          <w:bCs/>
          <w:color w:val="auto"/>
          <w:sz w:val="32"/>
          <w:szCs w:val="32"/>
        </w:rPr>
      </w:pPr>
    </w:p>
    <w:p>
      <w:pPr>
        <w:pStyle w:val="2"/>
        <w:rPr>
          <w:rFonts w:eastAsia="楷体"/>
          <w:b/>
          <w:bCs/>
          <w:color w:val="auto"/>
          <w:sz w:val="32"/>
          <w:szCs w:val="32"/>
        </w:rPr>
      </w:pPr>
    </w:p>
    <w:p>
      <w:pPr>
        <w:pStyle w:val="2"/>
        <w:rPr>
          <w:rFonts w:eastAsia="楷体"/>
          <w:b/>
          <w:bCs/>
          <w:color w:val="auto"/>
          <w:sz w:val="32"/>
          <w:szCs w:val="32"/>
        </w:rPr>
      </w:pPr>
    </w:p>
    <w:p>
      <w:pPr>
        <w:pStyle w:val="2"/>
        <w:rPr>
          <w:rFonts w:eastAsia="楷体"/>
          <w:b/>
          <w:bCs/>
          <w:color w:val="auto"/>
          <w:sz w:val="32"/>
          <w:szCs w:val="32"/>
        </w:rPr>
        <w:sectPr>
          <w:footerReference r:id="rId4" w:type="default"/>
          <w:pgSz w:w="11906" w:h="16838"/>
          <w:pgMar w:top="1440" w:right="1803" w:bottom="1440" w:left="1803" w:header="851" w:footer="992" w:gutter="0"/>
          <w:pgNumType w:fmt="numberInDash" w:start="1"/>
          <w:cols w:space="425" w:num="1"/>
          <w:docGrid w:type="lines" w:linePitch="312" w:charSpace="0"/>
        </w:sectPr>
      </w:pPr>
    </w:p>
    <w:tbl>
      <w:tblPr>
        <w:tblStyle w:val="12"/>
        <w:tblW w:w="14610" w:type="dxa"/>
        <w:jc w:val="center"/>
        <w:tblLayout w:type="autofit"/>
        <w:tblCellMar>
          <w:top w:w="0" w:type="dxa"/>
          <w:left w:w="108" w:type="dxa"/>
          <w:bottom w:w="0" w:type="dxa"/>
          <w:right w:w="108" w:type="dxa"/>
        </w:tblCellMar>
      </w:tblPr>
      <w:tblGrid>
        <w:gridCol w:w="1383"/>
        <w:gridCol w:w="1194"/>
        <w:gridCol w:w="1187"/>
        <w:gridCol w:w="935"/>
        <w:gridCol w:w="2250"/>
        <w:gridCol w:w="5132"/>
        <w:gridCol w:w="1176"/>
        <w:gridCol w:w="1353"/>
      </w:tblGrid>
      <w:tr>
        <w:tblPrEx>
          <w:tblCellMar>
            <w:top w:w="0" w:type="dxa"/>
            <w:left w:w="108" w:type="dxa"/>
            <w:bottom w:w="0" w:type="dxa"/>
            <w:right w:w="108" w:type="dxa"/>
          </w:tblCellMar>
        </w:tblPrEx>
        <w:trPr>
          <w:trHeight w:val="690" w:hRule="atLeast"/>
          <w:jc w:val="center"/>
        </w:trPr>
        <w:tc>
          <w:tcPr>
            <w:tcW w:w="14610" w:type="dxa"/>
            <w:gridSpan w:val="8"/>
            <w:tcBorders>
              <w:top w:val="nil"/>
              <w:left w:val="nil"/>
              <w:bottom w:val="single" w:color="000000" w:sz="4" w:space="0"/>
              <w:right w:val="nil"/>
            </w:tcBorders>
            <w:shd w:val="clear" w:color="auto" w:fill="auto"/>
            <w:vAlign w:val="center"/>
          </w:tcPr>
          <w:p>
            <w:pPr>
              <w:widowControl/>
              <w:jc w:val="center"/>
              <w:textAlignment w:val="center"/>
              <w:rPr>
                <w:b/>
                <w:bCs/>
                <w:color w:val="auto"/>
                <w:sz w:val="32"/>
                <w:szCs w:val="32"/>
              </w:rPr>
            </w:pPr>
            <w:r>
              <w:rPr>
                <w:b/>
                <w:bCs/>
                <w:color w:val="auto"/>
                <w:kern w:val="0"/>
                <w:sz w:val="32"/>
                <w:szCs w:val="32"/>
                <w:lang w:bidi="ar"/>
              </w:rPr>
              <w:t>2020年度省级部门整体支出绩效评价表</w:t>
            </w:r>
          </w:p>
        </w:tc>
      </w:tr>
      <w:tr>
        <w:tblPrEx>
          <w:tblCellMar>
            <w:top w:w="0" w:type="dxa"/>
            <w:left w:w="108" w:type="dxa"/>
            <w:bottom w:w="0" w:type="dxa"/>
            <w:right w:w="108" w:type="dxa"/>
          </w:tblCellMar>
        </w:tblPrEx>
        <w:trPr>
          <w:trHeight w:val="420" w:hRule="atLeast"/>
          <w:jc w:val="center"/>
        </w:trPr>
        <w:tc>
          <w:tcPr>
            <w:tcW w:w="37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绩效指标</w:t>
            </w:r>
          </w:p>
        </w:tc>
        <w:tc>
          <w:tcPr>
            <w:tcW w:w="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kern w:val="0"/>
                <w:sz w:val="22"/>
                <w:szCs w:val="22"/>
                <w:lang w:bidi="ar"/>
              </w:rPr>
            </w:pPr>
            <w:r>
              <w:rPr>
                <w:b/>
                <w:bCs/>
                <w:color w:val="auto"/>
                <w:kern w:val="0"/>
                <w:sz w:val="22"/>
                <w:szCs w:val="22"/>
                <w:lang w:bidi="ar"/>
              </w:rPr>
              <w:t>指标</w:t>
            </w:r>
          </w:p>
          <w:p>
            <w:pPr>
              <w:widowControl/>
              <w:jc w:val="center"/>
              <w:textAlignment w:val="center"/>
              <w:rPr>
                <w:b/>
                <w:bCs/>
                <w:color w:val="auto"/>
                <w:sz w:val="22"/>
                <w:szCs w:val="22"/>
              </w:rPr>
            </w:pPr>
            <w:r>
              <w:rPr>
                <w:b/>
                <w:bCs/>
                <w:color w:val="auto"/>
                <w:kern w:val="0"/>
                <w:sz w:val="22"/>
                <w:szCs w:val="22"/>
                <w:lang w:bidi="ar"/>
              </w:rPr>
              <w:t>分值</w:t>
            </w:r>
          </w:p>
        </w:tc>
        <w:tc>
          <w:tcPr>
            <w:tcW w:w="22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指标解释</w:t>
            </w:r>
          </w:p>
        </w:tc>
        <w:tc>
          <w:tcPr>
            <w:tcW w:w="5132"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计分标准</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自评评分</w:t>
            </w:r>
          </w:p>
        </w:tc>
        <w:tc>
          <w:tcPr>
            <w:tcW w:w="13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扣分原因</w:t>
            </w:r>
          </w:p>
        </w:tc>
      </w:tr>
      <w:tr>
        <w:tblPrEx>
          <w:tblCellMar>
            <w:top w:w="0" w:type="dxa"/>
            <w:left w:w="108" w:type="dxa"/>
            <w:bottom w:w="0" w:type="dxa"/>
            <w:right w:w="108" w:type="dxa"/>
          </w:tblCellMar>
        </w:tblPrEx>
        <w:trPr>
          <w:trHeight w:val="600" w:hRule="atLeast"/>
          <w:jc w:val="center"/>
        </w:trPr>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一级指标</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二级指标</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三级指标</w:t>
            </w: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2"/>
                <w:szCs w:val="22"/>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2"/>
                <w:szCs w:val="22"/>
              </w:rPr>
            </w:pPr>
          </w:p>
        </w:tc>
        <w:tc>
          <w:tcPr>
            <w:tcW w:w="513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b/>
                <w:bCs/>
                <w:color w:val="auto"/>
                <w:sz w:val="22"/>
                <w:szCs w:val="22"/>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2"/>
                <w:szCs w:val="22"/>
              </w:rPr>
            </w:pPr>
          </w:p>
        </w:tc>
        <w:tc>
          <w:tcPr>
            <w:tcW w:w="13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2"/>
                <w:szCs w:val="22"/>
              </w:rPr>
            </w:pPr>
          </w:p>
        </w:tc>
      </w:tr>
      <w:tr>
        <w:tblPrEx>
          <w:tblCellMar>
            <w:top w:w="0" w:type="dxa"/>
            <w:left w:w="108" w:type="dxa"/>
            <w:bottom w:w="0" w:type="dxa"/>
            <w:right w:w="108" w:type="dxa"/>
          </w:tblCellMar>
        </w:tblPrEx>
        <w:trPr>
          <w:trHeight w:val="520" w:hRule="atLeast"/>
          <w:jc w:val="center"/>
        </w:trPr>
        <w:tc>
          <w:tcPr>
            <w:tcW w:w="3764"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合计</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90</w:t>
            </w:r>
          </w:p>
        </w:tc>
        <w:tc>
          <w:tcPr>
            <w:tcW w:w="2250" w:type="dxa"/>
            <w:tcBorders>
              <w:top w:val="single" w:color="000000" w:sz="4" w:space="0"/>
              <w:left w:val="nil"/>
              <w:bottom w:val="single" w:color="000000" w:sz="4" w:space="0"/>
              <w:right w:val="nil"/>
            </w:tcBorders>
            <w:shd w:val="clear" w:color="auto" w:fill="auto"/>
            <w:vAlign w:val="center"/>
          </w:tcPr>
          <w:p>
            <w:pPr>
              <w:jc w:val="center"/>
              <w:rPr>
                <w:b/>
                <w:bCs/>
                <w:color w:val="auto"/>
                <w:sz w:val="22"/>
                <w:szCs w:val="22"/>
              </w:rPr>
            </w:pPr>
          </w:p>
        </w:tc>
        <w:tc>
          <w:tcPr>
            <w:tcW w:w="5132" w:type="dxa"/>
            <w:tcBorders>
              <w:top w:val="single" w:color="000000" w:sz="4" w:space="0"/>
              <w:left w:val="nil"/>
              <w:bottom w:val="single" w:color="000000" w:sz="4" w:space="0"/>
              <w:right w:val="single" w:color="000000" w:sz="4" w:space="0"/>
            </w:tcBorders>
            <w:shd w:val="clear" w:color="auto" w:fill="auto"/>
            <w:vAlign w:val="center"/>
          </w:tcPr>
          <w:p>
            <w:pPr>
              <w:jc w:val="left"/>
              <w:rPr>
                <w:b/>
                <w:bCs/>
                <w:color w:val="auto"/>
                <w:sz w:val="22"/>
                <w:szCs w:val="22"/>
              </w:rPr>
            </w:pPr>
          </w:p>
        </w:tc>
        <w:tc>
          <w:tcPr>
            <w:tcW w:w="1176"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83.36</w:t>
            </w:r>
          </w:p>
        </w:tc>
        <w:tc>
          <w:tcPr>
            <w:tcW w:w="1353" w:type="dxa"/>
            <w:tcBorders>
              <w:top w:val="nil"/>
              <w:left w:val="single" w:color="000000" w:sz="4" w:space="0"/>
              <w:bottom w:val="single" w:color="000000" w:sz="4" w:space="0"/>
              <w:right w:val="single" w:color="000000" w:sz="4" w:space="0"/>
            </w:tcBorders>
            <w:shd w:val="clear" w:color="auto" w:fill="auto"/>
            <w:vAlign w:val="center"/>
          </w:tcPr>
          <w:p>
            <w:pPr>
              <w:jc w:val="center"/>
              <w:rPr>
                <w:b/>
                <w:bCs/>
                <w:color w:val="auto"/>
                <w:sz w:val="22"/>
                <w:szCs w:val="22"/>
              </w:rPr>
            </w:pPr>
          </w:p>
        </w:tc>
      </w:tr>
      <w:tr>
        <w:tblPrEx>
          <w:tblCellMar>
            <w:top w:w="0" w:type="dxa"/>
            <w:left w:w="108" w:type="dxa"/>
            <w:bottom w:w="0" w:type="dxa"/>
            <w:right w:w="108" w:type="dxa"/>
          </w:tblCellMar>
        </w:tblPrEx>
        <w:trPr>
          <w:trHeight w:val="1620" w:hRule="atLeast"/>
          <w:jc w:val="center"/>
        </w:trPr>
        <w:tc>
          <w:tcPr>
            <w:tcW w:w="1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部门预算管理（80分）</w:t>
            </w:r>
          </w:p>
        </w:tc>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预算编制（30分）</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目标制定</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kern w:val="0"/>
                <w:sz w:val="22"/>
                <w:szCs w:val="22"/>
                <w:lang w:bidi="ar"/>
              </w:rPr>
            </w:pPr>
            <w:r>
              <w:rPr>
                <w:b/>
                <w:bCs/>
                <w:color w:val="auto"/>
                <w:kern w:val="0"/>
                <w:sz w:val="22"/>
                <w:szCs w:val="22"/>
                <w:lang w:bidi="ar"/>
              </w:rPr>
              <w:t>评价部门绩效目标是否要素完整、细化</w:t>
            </w:r>
          </w:p>
          <w:p>
            <w:pPr>
              <w:widowControl/>
              <w:jc w:val="center"/>
              <w:textAlignment w:val="center"/>
              <w:rPr>
                <w:b/>
                <w:bCs/>
                <w:color w:val="auto"/>
                <w:sz w:val="22"/>
                <w:szCs w:val="22"/>
              </w:rPr>
            </w:pPr>
            <w:r>
              <w:rPr>
                <w:b/>
                <w:bCs/>
                <w:color w:val="auto"/>
                <w:kern w:val="0"/>
                <w:sz w:val="22"/>
                <w:szCs w:val="22"/>
                <w:lang w:bidi="ar"/>
              </w:rPr>
              <w:t>量化。</w:t>
            </w:r>
          </w:p>
        </w:tc>
        <w:tc>
          <w:tcPr>
            <w:tcW w:w="5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
              </w:numPr>
              <w:jc w:val="left"/>
              <w:textAlignment w:val="center"/>
              <w:rPr>
                <w:b/>
                <w:bCs/>
                <w:color w:val="auto"/>
                <w:kern w:val="0"/>
                <w:sz w:val="22"/>
                <w:szCs w:val="22"/>
                <w:lang w:bidi="ar"/>
              </w:rPr>
            </w:pPr>
            <w:r>
              <w:rPr>
                <w:b/>
                <w:bCs/>
                <w:color w:val="auto"/>
                <w:kern w:val="0"/>
                <w:sz w:val="22"/>
                <w:szCs w:val="22"/>
                <w:lang w:bidi="ar"/>
              </w:rPr>
              <w:t xml:space="preserve">绩效目标编制要素完整的，得5分，否则酌情扣分。                                                       2.绩效指标细化量化的，得5分，否则酌情扣分。                  </w:t>
            </w:r>
          </w:p>
          <w:p>
            <w:pPr>
              <w:widowControl/>
              <w:jc w:val="left"/>
              <w:textAlignment w:val="center"/>
              <w:rPr>
                <w:b/>
                <w:bCs/>
                <w:color w:val="auto"/>
                <w:sz w:val="22"/>
                <w:szCs w:val="22"/>
              </w:rPr>
            </w:pPr>
            <w:r>
              <w:rPr>
                <w:b/>
                <w:bCs/>
                <w:color w:val="auto"/>
                <w:kern w:val="0"/>
                <w:sz w:val="22"/>
                <w:szCs w:val="22"/>
                <w:lang w:bidi="ar"/>
              </w:rPr>
              <w:t>有项目绩效目标的部门（单位），根据项目绩效目标编制质量打分，无项目绩效目标的部门，根据部门整体支出绩效目标打分。</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10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2"/>
                <w:szCs w:val="22"/>
              </w:rPr>
            </w:pPr>
          </w:p>
        </w:tc>
      </w:tr>
      <w:tr>
        <w:tblPrEx>
          <w:tblCellMar>
            <w:top w:w="0" w:type="dxa"/>
            <w:left w:w="108" w:type="dxa"/>
            <w:bottom w:w="0" w:type="dxa"/>
            <w:right w:w="108" w:type="dxa"/>
          </w:tblCellMar>
        </w:tblPrEx>
        <w:trPr>
          <w:trHeight w:val="1680" w:hRule="atLeast"/>
          <w:jc w:val="center"/>
        </w:trPr>
        <w:tc>
          <w:tcPr>
            <w:tcW w:w="1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2"/>
                <w:szCs w:val="22"/>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2"/>
                <w:szCs w:val="22"/>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目标实现</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评价部门绩效目标实际实现程度与预期目标的偏离度。</w:t>
            </w:r>
          </w:p>
        </w:tc>
        <w:tc>
          <w:tcPr>
            <w:tcW w:w="5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2"/>
                <w:szCs w:val="22"/>
              </w:rPr>
            </w:pPr>
            <w:r>
              <w:rPr>
                <w:b/>
                <w:bCs/>
                <w:color w:val="auto"/>
                <w:kern w:val="0"/>
                <w:sz w:val="22"/>
                <w:szCs w:val="22"/>
                <w:lang w:bidi="ar"/>
              </w:rPr>
              <w:t>以项目完成数量为核心，评价项目实际完成情况与预期绩效目标偏离度，单个数量指标实际完成未达到预期指标或超过预期指标30%以上的，均不计分。该项指标得分=达到预期值的数量指标个数/全部数量指标个数（即评价选取的项目绩效目标包含的所有数量指标）</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宋体"/>
                <w:b/>
                <w:bCs/>
                <w:color w:val="auto"/>
                <w:sz w:val="22"/>
                <w:szCs w:val="22"/>
                <w:lang w:eastAsia="zh-CN"/>
              </w:rPr>
            </w:pPr>
            <w:r>
              <w:rPr>
                <w:rFonts w:hint="eastAsia"/>
                <w:b/>
                <w:bCs/>
                <w:color w:val="auto"/>
                <w:sz w:val="22"/>
                <w:szCs w:val="22"/>
                <w:lang w:eastAsia="zh-CN"/>
              </w:rPr>
              <w:t>绩效目标细化程度不够</w:t>
            </w:r>
          </w:p>
        </w:tc>
      </w:tr>
      <w:tr>
        <w:tblPrEx>
          <w:tblCellMar>
            <w:top w:w="0" w:type="dxa"/>
            <w:left w:w="108" w:type="dxa"/>
            <w:bottom w:w="0" w:type="dxa"/>
            <w:right w:w="108" w:type="dxa"/>
          </w:tblCellMar>
        </w:tblPrEx>
        <w:trPr>
          <w:trHeight w:val="1300" w:hRule="atLeast"/>
          <w:jc w:val="center"/>
        </w:trPr>
        <w:tc>
          <w:tcPr>
            <w:tcW w:w="1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2"/>
                <w:szCs w:val="22"/>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2"/>
                <w:szCs w:val="22"/>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编制准确</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评价部门年初预算编制是否科学准确。</w:t>
            </w:r>
          </w:p>
        </w:tc>
        <w:tc>
          <w:tcPr>
            <w:tcW w:w="5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2"/>
                <w:szCs w:val="22"/>
              </w:rPr>
            </w:pPr>
            <w:r>
              <w:rPr>
                <w:b/>
                <w:bCs/>
                <w:color w:val="auto"/>
                <w:kern w:val="0"/>
                <w:sz w:val="22"/>
                <w:szCs w:val="22"/>
                <w:lang w:bidi="ar"/>
              </w:rPr>
              <w:t>指标得分=（1-（10*部门全年预算调剂金额/年初部门预算数））*指标分值。其中：若部门全年预算调剂金额/年初部门预算数&gt;0.1，此项得0分。</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9.93</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全年预算调剂66.75万元</w:t>
            </w:r>
          </w:p>
        </w:tc>
      </w:tr>
    </w:tbl>
    <w:p>
      <w:pPr>
        <w:jc w:val="center"/>
        <w:rPr>
          <w:b/>
          <w:bCs/>
          <w:color w:val="auto"/>
          <w:sz w:val="22"/>
          <w:szCs w:val="22"/>
        </w:rPr>
        <w:sectPr>
          <w:pgSz w:w="16838" w:h="11906" w:orient="landscape"/>
          <w:pgMar w:top="1803" w:right="1440" w:bottom="1803" w:left="1440" w:header="851" w:footer="992" w:gutter="0"/>
          <w:pgNumType w:fmt="numberInDash"/>
          <w:cols w:space="0" w:num="1"/>
          <w:rtlGutter w:val="0"/>
          <w:docGrid w:type="lines" w:linePitch="319" w:charSpace="0"/>
        </w:sectPr>
      </w:pPr>
    </w:p>
    <w:tbl>
      <w:tblPr>
        <w:tblStyle w:val="12"/>
        <w:tblW w:w="14610" w:type="dxa"/>
        <w:jc w:val="center"/>
        <w:tblLayout w:type="autofit"/>
        <w:tblCellMar>
          <w:top w:w="0" w:type="dxa"/>
          <w:left w:w="108" w:type="dxa"/>
          <w:bottom w:w="0" w:type="dxa"/>
          <w:right w:w="108" w:type="dxa"/>
        </w:tblCellMar>
      </w:tblPr>
      <w:tblGrid>
        <w:gridCol w:w="1383"/>
        <w:gridCol w:w="1194"/>
        <w:gridCol w:w="1187"/>
        <w:gridCol w:w="935"/>
        <w:gridCol w:w="2250"/>
        <w:gridCol w:w="5132"/>
        <w:gridCol w:w="1176"/>
        <w:gridCol w:w="1353"/>
      </w:tblGrid>
      <w:tr>
        <w:tblPrEx>
          <w:tblCellMar>
            <w:top w:w="0" w:type="dxa"/>
            <w:left w:w="108" w:type="dxa"/>
            <w:bottom w:w="0" w:type="dxa"/>
            <w:right w:w="108" w:type="dxa"/>
          </w:tblCellMar>
        </w:tblPrEx>
        <w:trPr>
          <w:trHeight w:val="1620" w:hRule="atLeast"/>
          <w:jc w:val="center"/>
        </w:trPr>
        <w:tc>
          <w:tcPr>
            <w:tcW w:w="1383" w:type="dxa"/>
            <w:vMerge w:val="restart"/>
            <w:tcBorders>
              <w:top w:val="single" w:color="000000" w:sz="4" w:space="0"/>
              <w:left w:val="single" w:color="000000" w:sz="4" w:space="0"/>
              <w:right w:val="single" w:color="000000" w:sz="4" w:space="0"/>
            </w:tcBorders>
            <w:shd w:val="clear" w:color="auto" w:fill="auto"/>
            <w:vAlign w:val="center"/>
          </w:tcPr>
          <w:p>
            <w:pPr>
              <w:pStyle w:val="2"/>
              <w:rPr>
                <w:b/>
                <w:bCs/>
              </w:rPr>
            </w:pPr>
          </w:p>
        </w:tc>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 xml:space="preserve">                                                                             预算执行（30分）</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支出控制</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kern w:val="0"/>
                <w:sz w:val="22"/>
                <w:szCs w:val="22"/>
                <w:lang w:bidi="ar"/>
              </w:rPr>
            </w:pPr>
            <w:r>
              <w:rPr>
                <w:b/>
                <w:bCs/>
                <w:color w:val="auto"/>
                <w:kern w:val="0"/>
                <w:sz w:val="22"/>
                <w:szCs w:val="22"/>
                <w:lang w:bidi="ar"/>
              </w:rPr>
              <w:t>部门公用经费及非定额公用支出控制</w:t>
            </w:r>
          </w:p>
          <w:p>
            <w:pPr>
              <w:widowControl/>
              <w:jc w:val="center"/>
              <w:textAlignment w:val="center"/>
              <w:rPr>
                <w:b/>
                <w:bCs/>
                <w:color w:val="auto"/>
                <w:sz w:val="22"/>
                <w:szCs w:val="22"/>
              </w:rPr>
            </w:pPr>
            <w:r>
              <w:rPr>
                <w:b/>
                <w:bCs/>
                <w:color w:val="auto"/>
                <w:kern w:val="0"/>
                <w:sz w:val="22"/>
                <w:szCs w:val="22"/>
                <w:lang w:bidi="ar"/>
              </w:rPr>
              <w:t>情况。</w:t>
            </w:r>
          </w:p>
        </w:tc>
        <w:tc>
          <w:tcPr>
            <w:tcW w:w="5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2"/>
                <w:szCs w:val="22"/>
              </w:rPr>
            </w:pPr>
            <w:r>
              <w:rPr>
                <w:b/>
                <w:bCs/>
                <w:color w:val="auto"/>
                <w:kern w:val="0"/>
                <w:sz w:val="22"/>
                <w:szCs w:val="22"/>
                <w:lang w:bidi="ar"/>
              </w:rPr>
              <w:t>计算部门日常公用经费、项目支出中“办公费、印刷费、水费、电费、物业管理费”等科目年初预算数与决算数偏差程度。预决算偏差程度在10%以内的，得10分。偏差度在10%-20%之间的，得5分，偏差度超过20%的，不得分。</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10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2"/>
                <w:szCs w:val="22"/>
              </w:rPr>
            </w:pPr>
          </w:p>
        </w:tc>
      </w:tr>
      <w:tr>
        <w:tblPrEx>
          <w:tblCellMar>
            <w:top w:w="0" w:type="dxa"/>
            <w:left w:w="108" w:type="dxa"/>
            <w:bottom w:w="0" w:type="dxa"/>
            <w:right w:w="108" w:type="dxa"/>
          </w:tblCellMar>
        </w:tblPrEx>
        <w:trPr>
          <w:trHeight w:val="2760" w:hRule="atLeast"/>
          <w:jc w:val="center"/>
        </w:trPr>
        <w:tc>
          <w:tcPr>
            <w:tcW w:w="1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2"/>
                <w:szCs w:val="22"/>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2"/>
                <w:szCs w:val="22"/>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动态调整</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评价部门开展绩效运行监控后，将绩效监控结果应用到预算调整的情况。</w:t>
            </w:r>
          </w:p>
        </w:tc>
        <w:tc>
          <w:tcPr>
            <w:tcW w:w="5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2"/>
                <w:szCs w:val="22"/>
              </w:rPr>
            </w:pPr>
            <w:r>
              <w:rPr>
                <w:b/>
                <w:bCs/>
                <w:color w:val="auto"/>
                <w:kern w:val="0"/>
                <w:sz w:val="22"/>
                <w:szCs w:val="22"/>
                <w:lang w:bidi="ar"/>
              </w:rPr>
              <w:t>1.当部门绩效监控调整取消额和结余注销额均不为零时，指标得分=部门项目支出绩效监控调整取消额/</w:t>
            </w:r>
            <w:r>
              <w:rPr>
                <w:rFonts w:hint="eastAsia"/>
                <w:b/>
                <w:bCs/>
                <w:color w:val="auto"/>
                <w:kern w:val="0"/>
                <w:sz w:val="22"/>
                <w:szCs w:val="22"/>
                <w:lang w:eastAsia="zh-CN" w:bidi="ar"/>
              </w:rPr>
              <w:t>（</w:t>
            </w:r>
            <w:r>
              <w:rPr>
                <w:b/>
                <w:bCs/>
                <w:color w:val="auto"/>
                <w:kern w:val="0"/>
                <w:sz w:val="22"/>
                <w:szCs w:val="22"/>
                <w:lang w:bidi="ar"/>
              </w:rPr>
              <w:t xml:space="preserve">部门绩效监控调整取消额+预算结余注销额）*10                                                  2.当部门绩效监控调整取消额为零，结余注销额不为零时，指标得分=（1-10*结余注销额/年度预算总额）*10，结余注销额超过部门年度预算总额10%的，指标不得分。                  </w:t>
            </w:r>
            <w:r>
              <w:rPr>
                <w:b/>
                <w:bCs/>
                <w:color w:val="auto"/>
                <w:kern w:val="0"/>
                <w:sz w:val="22"/>
                <w:szCs w:val="22"/>
                <w:lang w:bidi="ar"/>
              </w:rPr>
              <w:br w:type="textWrapping"/>
            </w:r>
            <w:r>
              <w:rPr>
                <w:b/>
                <w:bCs/>
                <w:color w:val="auto"/>
                <w:kern w:val="0"/>
                <w:sz w:val="22"/>
                <w:szCs w:val="22"/>
                <w:lang w:bidi="ar"/>
              </w:rPr>
              <w:t>3.当部门绩效监控调整取消额与结余注销额均为零时，得满分。</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9.42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eastAsia="宋体"/>
                <w:b/>
                <w:bCs/>
                <w:color w:val="auto"/>
                <w:sz w:val="22"/>
                <w:szCs w:val="22"/>
                <w:lang w:eastAsia="zh-CN"/>
              </w:rPr>
            </w:pPr>
            <w:r>
              <w:rPr>
                <w:b/>
                <w:bCs/>
                <w:color w:val="auto"/>
                <w:kern w:val="0"/>
                <w:sz w:val="22"/>
                <w:szCs w:val="22"/>
                <w:lang w:bidi="ar"/>
              </w:rPr>
              <w:t>年末有预算结余注销</w:t>
            </w:r>
            <w:r>
              <w:rPr>
                <w:rFonts w:hint="eastAsia"/>
                <w:b/>
                <w:bCs/>
                <w:color w:val="auto"/>
                <w:kern w:val="0"/>
                <w:sz w:val="22"/>
                <w:szCs w:val="22"/>
                <w:lang w:eastAsia="zh-CN" w:bidi="ar"/>
              </w:rPr>
              <w:t>额</w:t>
            </w:r>
          </w:p>
        </w:tc>
      </w:tr>
      <w:tr>
        <w:tblPrEx>
          <w:tblCellMar>
            <w:top w:w="0" w:type="dxa"/>
            <w:left w:w="108" w:type="dxa"/>
            <w:bottom w:w="0" w:type="dxa"/>
            <w:right w:w="108" w:type="dxa"/>
          </w:tblCellMar>
        </w:tblPrEx>
        <w:trPr>
          <w:trHeight w:val="1940" w:hRule="atLeast"/>
          <w:jc w:val="center"/>
        </w:trPr>
        <w:tc>
          <w:tcPr>
            <w:tcW w:w="1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2"/>
                <w:szCs w:val="22"/>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2"/>
                <w:szCs w:val="22"/>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执行进度</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评价部门在6、9、11月的预算执行情况。</w:t>
            </w:r>
          </w:p>
        </w:tc>
        <w:tc>
          <w:tcPr>
            <w:tcW w:w="5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2"/>
                <w:szCs w:val="22"/>
              </w:rPr>
            </w:pPr>
            <w:r>
              <w:rPr>
                <w:b/>
                <w:bCs/>
                <w:color w:val="auto"/>
                <w:kern w:val="0"/>
                <w:sz w:val="22"/>
                <w:szCs w:val="22"/>
                <w:lang w:bidi="ar"/>
              </w:rPr>
              <w:t>部门预算执行进度在6、9、11月应达到序时进度的80%、90%、90%，即实际支出进度分别达到40%、67.5%、82.5%。                                                     6、9、11月部门预算执行进度达到量化指标的分别得3、4、3分，未达到目标进度的按其实际进度占目标进度的比重计算得分。</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10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2"/>
                <w:szCs w:val="22"/>
              </w:rPr>
            </w:pPr>
          </w:p>
        </w:tc>
      </w:tr>
      <w:tr>
        <w:tblPrEx>
          <w:tblCellMar>
            <w:top w:w="0" w:type="dxa"/>
            <w:left w:w="108" w:type="dxa"/>
            <w:bottom w:w="0" w:type="dxa"/>
            <w:right w:w="108" w:type="dxa"/>
          </w:tblCellMar>
        </w:tblPrEx>
        <w:trPr>
          <w:trHeight w:val="960" w:hRule="atLeast"/>
          <w:jc w:val="center"/>
        </w:trPr>
        <w:tc>
          <w:tcPr>
            <w:tcW w:w="1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2"/>
                <w:szCs w:val="22"/>
              </w:rPr>
            </w:pPr>
          </w:p>
        </w:tc>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完成结果（20分）</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预算完成</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评价部门预算项目年终预算执行情况。</w:t>
            </w:r>
          </w:p>
        </w:tc>
        <w:tc>
          <w:tcPr>
            <w:tcW w:w="5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2"/>
                <w:szCs w:val="22"/>
              </w:rPr>
            </w:pPr>
            <w:r>
              <w:rPr>
                <w:b/>
                <w:bCs/>
                <w:color w:val="auto"/>
                <w:kern w:val="0"/>
                <w:sz w:val="22"/>
                <w:szCs w:val="22"/>
                <w:lang w:bidi="ar"/>
              </w:rPr>
              <w:t>部门预算项目12月预算执行进度达到100%的，得10分，未达100%的，按照实际进度量化计算得分。</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9.51</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截止12月31日预算执行进度95.1%</w:t>
            </w:r>
          </w:p>
        </w:tc>
      </w:tr>
      <w:tr>
        <w:tblPrEx>
          <w:tblCellMar>
            <w:top w:w="0" w:type="dxa"/>
            <w:left w:w="108" w:type="dxa"/>
            <w:bottom w:w="0" w:type="dxa"/>
            <w:right w:w="108" w:type="dxa"/>
          </w:tblCellMar>
        </w:tblPrEx>
        <w:trPr>
          <w:trHeight w:val="1380" w:hRule="atLeast"/>
          <w:jc w:val="center"/>
        </w:trPr>
        <w:tc>
          <w:tcPr>
            <w:tcW w:w="1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2"/>
                <w:szCs w:val="22"/>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2"/>
                <w:szCs w:val="22"/>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违规记录</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根据审计监督、财政检查结果反映部门上一年度部门预算管理是否合规。</w:t>
            </w:r>
          </w:p>
        </w:tc>
        <w:tc>
          <w:tcPr>
            <w:tcW w:w="5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2"/>
                <w:szCs w:val="22"/>
              </w:rPr>
            </w:pPr>
            <w:r>
              <w:rPr>
                <w:b/>
                <w:bCs/>
                <w:color w:val="auto"/>
                <w:kern w:val="0"/>
                <w:sz w:val="22"/>
                <w:szCs w:val="22"/>
                <w:lang w:bidi="ar"/>
              </w:rPr>
              <w:t>依据评价年度审计监督、财政检查结果，出现部门预算管理方面违纪违规问题的，每个问题扣0.5分，直至扣完。</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5.5</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2020年预算管理存在一定问题</w:t>
            </w:r>
          </w:p>
        </w:tc>
      </w:tr>
      <w:tr>
        <w:tblPrEx>
          <w:tblCellMar>
            <w:top w:w="0" w:type="dxa"/>
            <w:left w:w="108" w:type="dxa"/>
            <w:bottom w:w="0" w:type="dxa"/>
            <w:right w:w="108" w:type="dxa"/>
          </w:tblCellMar>
        </w:tblPrEx>
        <w:trPr>
          <w:trHeight w:val="1380" w:hRule="atLeast"/>
          <w:jc w:val="center"/>
        </w:trPr>
        <w:tc>
          <w:tcPr>
            <w:tcW w:w="1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绩效结果应用（10分）</w:t>
            </w:r>
          </w:p>
        </w:tc>
        <w:tc>
          <w:tcPr>
            <w:tcW w:w="1194"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信息公开</w:t>
            </w:r>
            <w:r>
              <w:rPr>
                <w:b/>
                <w:bCs/>
                <w:color w:val="auto"/>
                <w:kern w:val="0"/>
                <w:sz w:val="22"/>
                <w:szCs w:val="22"/>
                <w:lang w:bidi="ar"/>
              </w:rPr>
              <w:br w:type="textWrapping"/>
            </w:r>
            <w:r>
              <w:rPr>
                <w:b/>
                <w:bCs/>
                <w:color w:val="auto"/>
                <w:kern w:val="0"/>
                <w:sz w:val="22"/>
                <w:szCs w:val="22"/>
                <w:lang w:bidi="ar"/>
              </w:rPr>
              <w:t>（2分</w:t>
            </w:r>
            <w:r>
              <w:rPr>
                <w:rFonts w:hint="eastAsia"/>
                <w:b/>
                <w:bCs/>
                <w:color w:val="auto"/>
                <w:kern w:val="0"/>
                <w:sz w:val="22"/>
                <w:szCs w:val="22"/>
                <w:lang w:eastAsia="zh-CN" w:bidi="ar"/>
              </w:rPr>
              <w:t>）</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自评公开</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评价部门是否按要求将部门整体绩效自评情况和自行组织的评价情况向社会公开。</w:t>
            </w:r>
          </w:p>
        </w:tc>
        <w:tc>
          <w:tcPr>
            <w:tcW w:w="5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2"/>
                <w:szCs w:val="22"/>
              </w:rPr>
            </w:pPr>
            <w:r>
              <w:rPr>
                <w:b/>
                <w:bCs/>
                <w:color w:val="auto"/>
                <w:kern w:val="0"/>
                <w:sz w:val="22"/>
                <w:szCs w:val="22"/>
                <w:lang w:bidi="ar"/>
              </w:rPr>
              <w:t>按要求将相关绩效信息随同决算公开的，得2分，否则不得分。</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2</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2"/>
                <w:szCs w:val="22"/>
              </w:rPr>
            </w:pPr>
          </w:p>
        </w:tc>
      </w:tr>
      <w:tr>
        <w:tblPrEx>
          <w:tblCellMar>
            <w:top w:w="0" w:type="dxa"/>
            <w:left w:w="108" w:type="dxa"/>
            <w:bottom w:w="0" w:type="dxa"/>
            <w:right w:w="108" w:type="dxa"/>
          </w:tblCellMar>
        </w:tblPrEx>
        <w:trPr>
          <w:trHeight w:val="1440" w:hRule="atLeast"/>
          <w:jc w:val="center"/>
        </w:trPr>
        <w:tc>
          <w:tcPr>
            <w:tcW w:w="1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2"/>
                <w:szCs w:val="22"/>
              </w:rPr>
            </w:pPr>
          </w:p>
        </w:tc>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整改反馈</w:t>
            </w:r>
            <w:r>
              <w:rPr>
                <w:b/>
                <w:bCs/>
                <w:color w:val="auto"/>
                <w:kern w:val="0"/>
                <w:sz w:val="22"/>
                <w:szCs w:val="22"/>
                <w:lang w:bidi="ar"/>
              </w:rPr>
              <w:br w:type="textWrapping"/>
            </w:r>
            <w:r>
              <w:rPr>
                <w:b/>
                <w:bCs/>
                <w:color w:val="auto"/>
                <w:kern w:val="0"/>
                <w:sz w:val="22"/>
                <w:szCs w:val="22"/>
                <w:lang w:bidi="ar"/>
              </w:rPr>
              <w:t>（8分）</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结果整改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4</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评价部门根据绩效管理结果整改问题、完善政策、改进管理的情况。</w:t>
            </w:r>
          </w:p>
        </w:tc>
        <w:tc>
          <w:tcPr>
            <w:tcW w:w="5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2"/>
                <w:szCs w:val="22"/>
              </w:rPr>
            </w:pPr>
            <w:r>
              <w:rPr>
                <w:b/>
                <w:bCs/>
                <w:color w:val="auto"/>
                <w:kern w:val="0"/>
                <w:sz w:val="22"/>
                <w:szCs w:val="22"/>
                <w:lang w:bidi="ar"/>
              </w:rPr>
              <w:t>针对绩效管理过程中（包括绩效目标核查、绩效监控核查和重点绩效评价）提出的问题进行整改，将绩效管理结果应用于完善政策、改进管理、预算挂钩等的，得4分。否则，酌情扣分。</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2"/>
                <w:szCs w:val="22"/>
              </w:rPr>
            </w:pPr>
          </w:p>
        </w:tc>
      </w:tr>
      <w:tr>
        <w:tblPrEx>
          <w:tblCellMar>
            <w:top w:w="0" w:type="dxa"/>
            <w:left w:w="108" w:type="dxa"/>
            <w:bottom w:w="0" w:type="dxa"/>
            <w:right w:w="108" w:type="dxa"/>
          </w:tblCellMar>
        </w:tblPrEx>
        <w:trPr>
          <w:trHeight w:val="960" w:hRule="atLeast"/>
          <w:jc w:val="center"/>
        </w:trPr>
        <w:tc>
          <w:tcPr>
            <w:tcW w:w="1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2"/>
                <w:szCs w:val="22"/>
              </w:rPr>
            </w:pP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2"/>
                <w:szCs w:val="22"/>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应用反馈</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4</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评价部门按要求及时向财政部门反馈结果应用情况。</w:t>
            </w:r>
          </w:p>
        </w:tc>
        <w:tc>
          <w:tcPr>
            <w:tcW w:w="5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2"/>
                <w:szCs w:val="22"/>
              </w:rPr>
            </w:pPr>
            <w:r>
              <w:rPr>
                <w:b/>
                <w:bCs/>
                <w:color w:val="auto"/>
                <w:kern w:val="0"/>
                <w:sz w:val="22"/>
                <w:szCs w:val="22"/>
                <w:lang w:bidi="ar"/>
              </w:rPr>
              <w:t>部门在规定时间内向财政部门反馈应用绩效结果报告的，得满分，否则不得分。</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4</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auto"/>
                <w:sz w:val="22"/>
                <w:szCs w:val="22"/>
              </w:rPr>
            </w:pPr>
          </w:p>
        </w:tc>
      </w:tr>
      <w:tr>
        <w:tblPrEx>
          <w:tblCellMar>
            <w:top w:w="0" w:type="dxa"/>
            <w:left w:w="108" w:type="dxa"/>
            <w:bottom w:w="0" w:type="dxa"/>
            <w:right w:w="108" w:type="dxa"/>
          </w:tblCellMar>
        </w:tblPrEx>
        <w:trPr>
          <w:trHeight w:val="1460" w:hRule="atLeast"/>
          <w:jc w:val="center"/>
        </w:trPr>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自评质量</w:t>
            </w:r>
            <w:r>
              <w:rPr>
                <w:b/>
                <w:bCs/>
                <w:color w:val="auto"/>
                <w:kern w:val="0"/>
                <w:sz w:val="22"/>
                <w:szCs w:val="22"/>
                <w:lang w:bidi="ar"/>
              </w:rPr>
              <w:br w:type="textWrapping"/>
            </w:r>
            <w:r>
              <w:rPr>
                <w:b/>
                <w:bCs/>
                <w:color w:val="auto"/>
                <w:kern w:val="0"/>
                <w:sz w:val="22"/>
                <w:szCs w:val="22"/>
                <w:lang w:bidi="ar"/>
              </w:rPr>
              <w:t>（10分）</w:t>
            </w:r>
          </w:p>
        </w:tc>
        <w:tc>
          <w:tcPr>
            <w:tcW w:w="1194"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自评质量（10分）</w:t>
            </w:r>
          </w:p>
        </w:tc>
        <w:tc>
          <w:tcPr>
            <w:tcW w:w="1187"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自评准确</w:t>
            </w:r>
          </w:p>
        </w:tc>
        <w:tc>
          <w:tcPr>
            <w:tcW w:w="935" w:type="dxa"/>
            <w:tcBorders>
              <w:top w:val="nil"/>
              <w:left w:val="single" w:color="000000" w:sz="4" w:space="0"/>
              <w:bottom w:val="single" w:color="000000" w:sz="4" w:space="0"/>
              <w:right w:val="single" w:color="000000" w:sz="4" w:space="0"/>
            </w:tcBorders>
            <w:shd w:val="clear" w:color="auto" w:fill="auto"/>
            <w:vAlign w:val="center"/>
          </w:tcPr>
          <w:p>
            <w:pPr>
              <w:jc w:val="center"/>
              <w:rPr>
                <w:b/>
                <w:bCs/>
                <w:color w:val="auto"/>
                <w:sz w:val="22"/>
                <w:szCs w:val="22"/>
              </w:rPr>
            </w:pPr>
          </w:p>
        </w:tc>
        <w:tc>
          <w:tcPr>
            <w:tcW w:w="225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auto"/>
                <w:sz w:val="22"/>
                <w:szCs w:val="22"/>
              </w:rPr>
            </w:pPr>
            <w:r>
              <w:rPr>
                <w:b/>
                <w:bCs/>
                <w:color w:val="auto"/>
                <w:kern w:val="0"/>
                <w:sz w:val="22"/>
                <w:szCs w:val="22"/>
                <w:lang w:bidi="ar"/>
              </w:rPr>
              <w:t>评价部门整体支出自评准确率。</w:t>
            </w:r>
          </w:p>
        </w:tc>
        <w:tc>
          <w:tcPr>
            <w:tcW w:w="5132" w:type="dxa"/>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auto"/>
                <w:sz w:val="22"/>
                <w:szCs w:val="22"/>
              </w:rPr>
            </w:pPr>
            <w:r>
              <w:rPr>
                <w:b/>
                <w:bCs/>
                <w:color w:val="auto"/>
                <w:kern w:val="0"/>
                <w:sz w:val="22"/>
                <w:szCs w:val="22"/>
                <w:lang w:bidi="ar"/>
              </w:rPr>
              <w:t>部门整体支出自评得分与评价组抽查得分差异在5%以内的，不扣分；在5%-10%之间的，扣4分，在10%-20%的，扣8分，在20%以上的，扣10分。（部门在自评时，此项指标无需打分，部门自评满分为90分）</w:t>
            </w:r>
          </w:p>
        </w:tc>
        <w:tc>
          <w:tcPr>
            <w:tcW w:w="1176" w:type="dxa"/>
            <w:tcBorders>
              <w:top w:val="nil"/>
              <w:left w:val="single" w:color="000000" w:sz="4" w:space="0"/>
              <w:bottom w:val="single" w:color="000000" w:sz="4" w:space="0"/>
              <w:right w:val="single" w:color="000000" w:sz="4" w:space="0"/>
            </w:tcBorders>
            <w:shd w:val="clear" w:color="auto" w:fill="auto"/>
            <w:vAlign w:val="center"/>
          </w:tcPr>
          <w:p>
            <w:pPr>
              <w:jc w:val="center"/>
              <w:rPr>
                <w:b/>
                <w:bCs/>
                <w:color w:val="auto"/>
                <w:sz w:val="22"/>
                <w:szCs w:val="22"/>
              </w:rPr>
            </w:pPr>
          </w:p>
        </w:tc>
        <w:tc>
          <w:tcPr>
            <w:tcW w:w="1353" w:type="dxa"/>
            <w:tcBorders>
              <w:top w:val="nil"/>
              <w:left w:val="single" w:color="000000" w:sz="4" w:space="0"/>
              <w:bottom w:val="single" w:color="000000" w:sz="4" w:space="0"/>
              <w:right w:val="single" w:color="000000" w:sz="4" w:space="0"/>
            </w:tcBorders>
            <w:shd w:val="clear" w:color="auto" w:fill="auto"/>
            <w:vAlign w:val="center"/>
          </w:tcPr>
          <w:p>
            <w:pPr>
              <w:jc w:val="center"/>
              <w:rPr>
                <w:b/>
                <w:bCs/>
                <w:color w:val="auto"/>
                <w:sz w:val="22"/>
                <w:szCs w:val="22"/>
              </w:rPr>
            </w:pPr>
          </w:p>
        </w:tc>
      </w:tr>
    </w:tbl>
    <w:p>
      <w:pPr>
        <w:pStyle w:val="2"/>
        <w:rPr>
          <w:rFonts w:eastAsia="楷体"/>
          <w:b/>
          <w:bCs/>
          <w:color w:val="auto"/>
          <w:sz w:val="32"/>
          <w:szCs w:val="32"/>
        </w:rPr>
      </w:pPr>
    </w:p>
    <w:p>
      <w:pPr>
        <w:pStyle w:val="2"/>
        <w:rPr>
          <w:rFonts w:eastAsia="楷体"/>
          <w:b/>
          <w:bCs/>
          <w:color w:val="auto"/>
          <w:sz w:val="32"/>
          <w:szCs w:val="32"/>
        </w:rPr>
        <w:sectPr>
          <w:footerReference r:id="rId5" w:type="default"/>
          <w:pgSz w:w="16838" w:h="11906" w:orient="landscape"/>
          <w:pgMar w:top="1803" w:right="1440" w:bottom="1803" w:left="1440" w:header="851" w:footer="992" w:gutter="0"/>
          <w:pgNumType w:fmt="numberInDash"/>
          <w:cols w:space="0" w:num="1"/>
          <w:rtlGutter w:val="0"/>
          <w:docGrid w:type="lines" w:linePitch="319" w:charSpace="0"/>
        </w:sectPr>
      </w:pPr>
    </w:p>
    <w:p>
      <w:pPr>
        <w:numPr>
          <w:ilvl w:val="0"/>
          <w:numId w:val="4"/>
        </w:numPr>
        <w:spacing w:line="600" w:lineRule="exact"/>
        <w:ind w:firstLine="663" w:firstLineChars="150"/>
        <w:jc w:val="center"/>
        <w:outlineLvl w:val="0"/>
        <w:rPr>
          <w:rStyle w:val="24"/>
          <w:rFonts w:ascii="黑体" w:hAnsi="黑体" w:eastAsia="黑体"/>
          <w:b/>
          <w:bCs/>
          <w:color w:val="auto"/>
          <w:highlight w:val="none"/>
        </w:rPr>
      </w:pPr>
      <w:bookmarkStart w:id="53" w:name="_Toc15396613"/>
      <w:bookmarkStart w:id="54" w:name="_Toc15377225"/>
      <w:r>
        <w:rPr>
          <w:rFonts w:hint="eastAsia" w:ascii="黑体" w:hAnsi="黑体" w:eastAsia="黑体"/>
          <w:b/>
          <w:bCs/>
          <w:color w:val="auto"/>
          <w:sz w:val="44"/>
          <w:szCs w:val="44"/>
          <w:highlight w:val="none"/>
        </w:rPr>
        <w:t>名</w:t>
      </w:r>
      <w:r>
        <w:rPr>
          <w:rStyle w:val="24"/>
          <w:rFonts w:hint="eastAsia" w:ascii="黑体" w:hAnsi="黑体" w:eastAsia="黑体"/>
          <w:b/>
          <w:bCs/>
          <w:color w:val="auto"/>
          <w:highlight w:val="none"/>
        </w:rPr>
        <w:t>词解释</w:t>
      </w:r>
      <w:bookmarkEnd w:id="53"/>
      <w:bookmarkEnd w:id="54"/>
    </w:p>
    <w:p>
      <w:pPr>
        <w:spacing w:line="600" w:lineRule="exact"/>
        <w:jc w:val="left"/>
        <w:rPr>
          <w:rFonts w:ascii="宋体"/>
          <w:b/>
          <w:bCs/>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rPr>
      </w:pPr>
      <w:bookmarkStart w:id="55" w:name="_Toc15396614"/>
      <w:bookmarkStart w:id="56" w:name="_Toc15377226"/>
      <w:r>
        <w:rPr>
          <w:rFonts w:hint="eastAsia" w:ascii="方正仿宋简体" w:hAnsi="方正仿宋简体" w:eastAsia="方正仿宋简体" w:cs="方正仿宋简体"/>
          <w:b/>
          <w:bCs/>
          <w:color w:val="auto"/>
          <w:sz w:val="32"/>
          <w:szCs w:val="32"/>
          <w:highlight w:val="none"/>
        </w:rPr>
        <w:t>1.一般公共预算财政拨款收入：指省级财政当年拨付的资金。</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2.事业收入：指事业单位开展专业业务活动及辅助活动取得的收入。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3.经营收入：指事业单位在专业业务活动及其辅助活动之外开展非独立核算经营活动取得的收入。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4.其他收入：指单位取得的除上述收入以外的各项收入。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5.年初结转和结余：指以前年度尚未完成、结转到本年按有关规定继续使用的资金。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6.一般公共服务（类）人大事务（款）行政运行（项）：反映行政单位（包括实行公务员管理的事业单位）的基本支出。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7.一般公共服务（类）人大事务（款）一般行政管理事务（项）：指用于保障机关单位正常运转，为完成特定的工作任务，用于一般行政管理事务方面的经费支出。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8.一般公共服务（类）人大事务（款）机关服务（项）：指用于为机关提供后勤服务方面的经费支出。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9.一般公共服务（类）人大事务（款）人大会议（项）：反映各级人大召开人民代表大会等专门会议的支出。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10.一般公共服务（类）人大事务（款）人大立法（项）：反映各级人大立法方面的支出。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11.一般公共服务（类）人大事务（款）人大监督（项）：反映各级人大开展监督工作的支出。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12.一般公共服务（类）人大事务（款）人大代表履职能力提升（项）：反映各级人大为提高代表履职能力所发生的各项支出。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13.一般公共服务（类）人大事务（款）代表工作（项）：反映人大代表开展各类视察等方面的支出。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14.一般公共服务（类）人大事务（款）人大信访工作（项）：反映各级人大处理来信来访工作的支出。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15.一般公共服务（类）人大事务（款）事业运行（项）：反映事业单位的基本支出。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16.一般公共服务（类）人大事务（款）其他人大事务支出（项）：反映除上述项目以外的其他人大事务支出。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17.教育支出（类）进修及培训（款）培训支出（项）：反映各部门安排的用于培训的支出。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18.社会保障和就业支出（类）行政事业单位养老支出（款）行政单位离退休（项）：指用于行政单位离退休人员支出。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19.社会保障和就业支出（类）行政事业单位养老支出（款）事业单位离退休（项）：指用于事业单位离退休人员支出。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20.社会保障和就业支出（类）行政事业单位养老支出（款）机关事业单位基本养老保险缴费支出（项）：指用于机关事业单位基本养老保险缴费支出。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21.社会保障和就业支出（类）行政事业单位养老支出（款）机关事业单位职业年金缴费支出（项）：指用于行政事业单位职业年金缴费支出。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22.卫生健康支出（类）行政事业单位医疗（款）行政单位医疗（项）：反映财政部门集中安排的行政单位基本医疗保险缴费经费。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23.卫生健康支出（类）行政事业单位医疗（款）事业单位医疗（项）：反映财政部门集中安排的事业单位基本医疗保险缴费经费。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24.卫生健康支出（类）行政事业单位医疗（款）公务员医疗补助（项）：反映财政部门集中安排的公务员医疗补助经费。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25.住房保障支出（类）住房改革支出（款）住房公积金（项）：指用于按政策规定为职工缴纳的住房公积金支出。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26.住房保障支出（类）住房改革支出（款）购房补贴（项）：指用于按政策规定发放给无房职工的购房补贴支出。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27.年末结转和结余：指本年度或以前年度预算安排、因客观条件发生变化无法按原计划实施，需延迟到以后年度按有关规定继续使用的资金。</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28.基本支出：指为保障机构正常运转、完成日常工作任务而发生的人员支出和公用支出。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29.项目支出：指在基本支出之外为完成特定行政任务和事业发展目标所发生的支出。本决算包含运转类项目支出（非定额公用经费）。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30.“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rPr>
      </w:pPr>
      <w:r>
        <w:rPr>
          <w:rFonts w:hint="eastAsia" w:ascii="方正仿宋简体" w:hAnsi="方正仿宋简体" w:eastAsia="方正仿宋简体" w:cs="方正仿宋简体"/>
          <w:b/>
          <w:bCs/>
          <w:color w:val="auto"/>
          <w:sz w:val="32"/>
          <w:szCs w:val="32"/>
          <w:highlight w:val="none"/>
        </w:rPr>
        <w:t>31.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left"/>
        <w:outlineLvl w:val="0"/>
        <w:rPr>
          <w:rFonts w:hint="eastAsia" w:ascii="方正仿宋简体" w:hAnsi="方正仿宋简体" w:eastAsia="方正仿宋简体" w:cs="方正仿宋简体"/>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0"/>
        <w:rPr>
          <w:rFonts w:hint="eastAsia" w:ascii="方正仿宋简体" w:hAnsi="方正仿宋简体" w:eastAsia="方正仿宋简体" w:cs="方正仿宋简体"/>
          <w:b/>
          <w:bCs/>
          <w:color w:val="auto"/>
          <w:sz w:val="32"/>
          <w:szCs w:val="32"/>
          <w:highlight w:val="none"/>
          <w:lang w:val="en-US" w:eastAsia="zh-CN"/>
        </w:rPr>
      </w:pPr>
      <w:r>
        <w:rPr>
          <w:rFonts w:hint="eastAsia" w:ascii="方正仿宋简体" w:hAnsi="方正仿宋简体" w:eastAsia="方正仿宋简体" w:cs="方正仿宋简体"/>
          <w:b/>
          <w:bCs/>
          <w:color w:val="auto"/>
          <w:sz w:val="32"/>
          <w:szCs w:val="32"/>
          <w:highlight w:val="none"/>
          <w:lang w:val="en-US" w:eastAsia="zh-CN"/>
        </w:rPr>
        <w:t>*其他事项说明：“第二部分”2020年度部门决算情况说明中的预算完成进度系与调整预算数比较且取整数。</w:t>
      </w:r>
    </w:p>
    <w:p>
      <w:pPr>
        <w:pStyle w:val="2"/>
        <w:rPr>
          <w:rFonts w:hint="default"/>
          <w:lang w:val="en-US"/>
        </w:rPr>
      </w:pPr>
    </w:p>
    <w:p>
      <w:pPr>
        <w:pStyle w:val="2"/>
        <w:rPr>
          <w:rFonts w:hint="eastAsia" w:ascii="方正仿宋简体" w:hAnsi="方正仿宋简体" w:eastAsia="方正仿宋简体" w:cs="方正仿宋简体"/>
          <w:b/>
          <w:bCs/>
          <w:color w:val="auto"/>
          <w:sz w:val="32"/>
          <w:szCs w:val="32"/>
          <w:highlight w:val="none"/>
        </w:rPr>
      </w:pPr>
    </w:p>
    <w:p>
      <w:pPr>
        <w:pStyle w:val="2"/>
        <w:rPr>
          <w:rFonts w:hint="eastAsia" w:ascii="方正仿宋简体" w:hAnsi="方正仿宋简体" w:eastAsia="方正仿宋简体" w:cs="方正仿宋简体"/>
          <w:b/>
          <w:bCs/>
          <w:color w:val="auto"/>
          <w:sz w:val="32"/>
          <w:szCs w:val="32"/>
          <w:highlight w:val="none"/>
        </w:rPr>
      </w:pPr>
    </w:p>
    <w:p>
      <w:pPr>
        <w:spacing w:line="600" w:lineRule="exact"/>
        <w:jc w:val="center"/>
        <w:outlineLvl w:val="0"/>
        <w:rPr>
          <w:rStyle w:val="24"/>
          <w:rFonts w:hint="eastAsia" w:ascii="黑体" w:hAnsi="黑体" w:eastAsia="黑体"/>
          <w:b/>
          <w:bCs/>
          <w:color w:val="auto"/>
          <w:highlight w:val="none"/>
          <w:lang w:eastAsia="zh-CN"/>
        </w:rPr>
      </w:pPr>
      <w:r>
        <w:rPr>
          <w:rFonts w:hint="eastAsia" w:ascii="黑体" w:hAnsi="黑体" w:eastAsia="黑体"/>
          <w:b/>
          <w:bCs/>
          <w:color w:val="auto"/>
          <w:sz w:val="44"/>
          <w:szCs w:val="44"/>
          <w:highlight w:val="none"/>
        </w:rPr>
        <w:t>第</w:t>
      </w:r>
      <w:r>
        <w:rPr>
          <w:rStyle w:val="24"/>
          <w:rFonts w:hint="eastAsia" w:ascii="黑体" w:hAnsi="黑体" w:eastAsia="黑体"/>
          <w:b/>
          <w:bCs/>
          <w:color w:val="auto"/>
          <w:highlight w:val="none"/>
        </w:rPr>
        <w:t>四部分 附件</w:t>
      </w:r>
      <w:bookmarkEnd w:id="55"/>
    </w:p>
    <w:p>
      <w:pPr>
        <w:spacing w:line="600" w:lineRule="exact"/>
        <w:jc w:val="left"/>
        <w:outlineLvl w:val="0"/>
        <w:rPr>
          <w:rFonts w:eastAsia="方正小标宋简体"/>
          <w:b/>
          <w:bCs/>
          <w:color w:val="auto"/>
          <w:sz w:val="44"/>
          <w:szCs w:val="44"/>
        </w:rPr>
      </w:pPr>
      <w:r>
        <w:rPr>
          <w:rFonts w:eastAsia="黑体"/>
          <w:b/>
          <w:bCs/>
          <w:color w:val="auto"/>
          <w:sz w:val="32"/>
          <w:szCs w:val="32"/>
        </w:rPr>
        <w:t>附件1</w:t>
      </w:r>
    </w:p>
    <w:p>
      <w:pPr>
        <w:spacing w:line="600" w:lineRule="exact"/>
        <w:ind w:left="315" w:leftChars="150"/>
        <w:jc w:val="center"/>
        <w:outlineLvl w:val="0"/>
        <w:rPr>
          <w:rFonts w:hint="eastAsia" w:ascii="方正小标宋简体" w:hAnsi="方正小标宋简体" w:eastAsia="方正小标宋简体" w:cs="方正小标宋简体"/>
          <w:b/>
          <w:bCs/>
          <w:color w:val="auto"/>
          <w:sz w:val="44"/>
          <w:szCs w:val="44"/>
        </w:rPr>
      </w:pPr>
      <w:r>
        <w:rPr>
          <w:rFonts w:hint="eastAsia" w:ascii="方正小标宋简体" w:hAnsi="方正小标宋简体" w:eastAsia="方正小标宋简体" w:cs="方正小标宋简体"/>
          <w:b/>
          <w:bCs/>
          <w:color w:val="auto"/>
          <w:sz w:val="44"/>
          <w:szCs w:val="44"/>
        </w:rPr>
        <w:t>2020年省人大常委会办公厅部门整体</w:t>
      </w:r>
    </w:p>
    <w:p>
      <w:pPr>
        <w:spacing w:line="600" w:lineRule="exact"/>
        <w:ind w:left="315" w:leftChars="150"/>
        <w:jc w:val="center"/>
        <w:outlineLvl w:val="0"/>
        <w:rPr>
          <w:rFonts w:hint="eastAsia" w:ascii="方正小标宋简体" w:hAnsi="方正小标宋简体" w:eastAsia="方正小标宋简体" w:cs="方正小标宋简体"/>
          <w:b/>
          <w:bCs/>
          <w:color w:val="auto"/>
          <w:sz w:val="44"/>
          <w:szCs w:val="44"/>
        </w:rPr>
      </w:pPr>
      <w:r>
        <w:rPr>
          <w:rFonts w:hint="eastAsia" w:ascii="方正小标宋简体" w:hAnsi="方正小标宋简体" w:eastAsia="方正小标宋简体" w:cs="方正小标宋简体"/>
          <w:b/>
          <w:bCs/>
          <w:color w:val="auto"/>
          <w:sz w:val="44"/>
          <w:szCs w:val="44"/>
        </w:rPr>
        <w:t>支出绩效评价报告</w:t>
      </w:r>
    </w:p>
    <w:p>
      <w:pPr>
        <w:snapToGrid w:val="0"/>
        <w:spacing w:line="540" w:lineRule="exact"/>
        <w:jc w:val="center"/>
        <w:rPr>
          <w:rFonts w:eastAsia="仿宋"/>
          <w:b/>
          <w:bCs/>
          <w:color w:val="auto"/>
          <w:sz w:val="32"/>
          <w:szCs w:val="32"/>
        </w:rPr>
      </w:pPr>
    </w:p>
    <w:p>
      <w:pPr>
        <w:snapToGrid w:val="0"/>
        <w:spacing w:line="540" w:lineRule="exact"/>
        <w:ind w:firstLine="643" w:firstLineChars="200"/>
        <w:rPr>
          <w:rFonts w:eastAsia="方正黑体简体"/>
          <w:b/>
          <w:bCs/>
          <w:color w:val="auto"/>
          <w:sz w:val="32"/>
          <w:szCs w:val="32"/>
        </w:rPr>
      </w:pPr>
      <w:r>
        <w:rPr>
          <w:rFonts w:eastAsia="方正黑体简体"/>
          <w:b/>
          <w:bCs/>
          <w:color w:val="auto"/>
          <w:sz w:val="32"/>
          <w:szCs w:val="32"/>
        </w:rPr>
        <w:t>一、部门概况</w:t>
      </w:r>
    </w:p>
    <w:p>
      <w:pPr>
        <w:pStyle w:val="2"/>
        <w:pageBreakBefore w:val="0"/>
        <w:widowControl w:val="0"/>
        <w:kinsoku/>
        <w:wordWrap/>
        <w:overflowPunct/>
        <w:topLinePunct w:val="0"/>
        <w:autoSpaceDE/>
        <w:autoSpaceDN/>
        <w:bidi w:val="0"/>
        <w:adjustRightInd w:val="0"/>
        <w:snapToGrid w:val="0"/>
        <w:spacing w:beforeLines="0" w:line="560" w:lineRule="exact"/>
        <w:ind w:firstLine="643" w:firstLineChars="200"/>
        <w:jc w:val="both"/>
        <w:textAlignment w:val="auto"/>
        <w:outlineLvl w:val="2"/>
        <w:rPr>
          <w:rFonts w:hint="eastAsia" w:ascii="方正楷体简体" w:hAnsi="方正楷体简体" w:eastAsia="方正楷体简体" w:cs="方正楷体简体"/>
          <w:b/>
          <w:bCs/>
          <w:color w:val="auto"/>
          <w:sz w:val="32"/>
          <w:szCs w:val="32"/>
          <w:highlight w:val="none"/>
          <w:lang w:eastAsia="zh-CN"/>
        </w:rPr>
      </w:pPr>
      <w:r>
        <w:rPr>
          <w:rFonts w:hint="eastAsia" w:ascii="方正楷体简体" w:hAnsi="方正楷体简体" w:eastAsia="方正楷体简体" w:cs="方正楷体简体"/>
          <w:b/>
          <w:bCs/>
          <w:color w:val="auto"/>
          <w:sz w:val="32"/>
          <w:szCs w:val="32"/>
          <w:highlight w:val="none"/>
          <w:lang w:eastAsia="zh-CN"/>
        </w:rPr>
        <w:t>（一）机构组成</w:t>
      </w:r>
    </w:p>
    <w:p>
      <w:pPr>
        <w:snapToGrid w:val="0"/>
        <w:spacing w:line="540" w:lineRule="exact"/>
        <w:ind w:firstLine="643" w:firstLineChars="200"/>
        <w:rPr>
          <w:rFonts w:eastAsia="方正仿宋简体"/>
          <w:b/>
          <w:bCs/>
          <w:color w:val="auto"/>
          <w:sz w:val="32"/>
          <w:szCs w:val="32"/>
        </w:rPr>
      </w:pPr>
      <w:r>
        <w:rPr>
          <w:rFonts w:eastAsia="方正仿宋简体"/>
          <w:b/>
          <w:bCs/>
          <w:color w:val="auto"/>
          <w:sz w:val="32"/>
          <w:szCs w:val="32"/>
        </w:rPr>
        <w:t>省人大常委会办公厅</w:t>
      </w:r>
      <w:r>
        <w:rPr>
          <w:rFonts w:hint="eastAsia" w:eastAsia="方正仿宋简体"/>
          <w:b/>
          <w:bCs/>
          <w:color w:val="auto"/>
          <w:sz w:val="32"/>
          <w:szCs w:val="32"/>
          <w:lang w:eastAsia="zh-CN"/>
        </w:rPr>
        <w:t>（以下简称办公厅）</w:t>
      </w:r>
      <w:r>
        <w:rPr>
          <w:rFonts w:eastAsia="方正仿宋简体"/>
          <w:b/>
          <w:bCs/>
          <w:color w:val="auto"/>
          <w:sz w:val="32"/>
          <w:szCs w:val="32"/>
        </w:rPr>
        <w:t>下属二级预算单位五个，其中行政单位一个，参照公务员法管理的事业单位一个，其他事业单位三个。主要包括：四川省人大常委会办公厅本级、四川省省级机关老干部休养三所、四川省人大常委会办公厅机关服务中心、四川省人大常委会办公厅信息中心和四川省人大常委会办公厅预算联网中心。</w:t>
      </w:r>
    </w:p>
    <w:p>
      <w:pPr>
        <w:pStyle w:val="2"/>
        <w:pageBreakBefore w:val="0"/>
        <w:widowControl w:val="0"/>
        <w:kinsoku/>
        <w:wordWrap/>
        <w:overflowPunct/>
        <w:topLinePunct w:val="0"/>
        <w:autoSpaceDE/>
        <w:autoSpaceDN/>
        <w:bidi w:val="0"/>
        <w:adjustRightInd w:val="0"/>
        <w:snapToGrid w:val="0"/>
        <w:spacing w:beforeLines="0" w:line="560" w:lineRule="exact"/>
        <w:ind w:firstLine="643" w:firstLineChars="200"/>
        <w:jc w:val="both"/>
        <w:textAlignment w:val="auto"/>
        <w:outlineLvl w:val="2"/>
        <w:rPr>
          <w:rFonts w:hint="eastAsia" w:ascii="方正楷体简体" w:hAnsi="方正楷体简体" w:eastAsia="方正楷体简体" w:cs="方正楷体简体"/>
          <w:b/>
          <w:bCs/>
          <w:color w:val="auto"/>
          <w:sz w:val="32"/>
          <w:szCs w:val="32"/>
          <w:highlight w:val="none"/>
          <w:lang w:eastAsia="zh-CN"/>
        </w:rPr>
      </w:pPr>
      <w:r>
        <w:rPr>
          <w:rFonts w:hint="eastAsia" w:ascii="方正楷体简体" w:hAnsi="方正楷体简体" w:eastAsia="方正楷体简体" w:cs="方正楷体简体"/>
          <w:b/>
          <w:bCs/>
          <w:color w:val="auto"/>
          <w:sz w:val="32"/>
          <w:szCs w:val="32"/>
          <w:highlight w:val="none"/>
          <w:lang w:eastAsia="zh-CN"/>
        </w:rPr>
        <w:t>（二）机构职能</w:t>
      </w:r>
    </w:p>
    <w:p>
      <w:pPr>
        <w:snapToGrid w:val="0"/>
        <w:spacing w:line="540" w:lineRule="exact"/>
        <w:ind w:firstLine="643" w:firstLineChars="200"/>
        <w:rPr>
          <w:rFonts w:eastAsia="方正仿宋简体"/>
          <w:b/>
          <w:bCs/>
          <w:color w:val="auto"/>
          <w:sz w:val="32"/>
          <w:szCs w:val="32"/>
        </w:rPr>
      </w:pPr>
      <w:r>
        <w:rPr>
          <w:rFonts w:eastAsia="方正仿宋简体"/>
          <w:b/>
          <w:bCs/>
          <w:color w:val="auto"/>
          <w:sz w:val="32"/>
          <w:szCs w:val="32"/>
        </w:rPr>
        <w:t>按照省人大常委会机关“三定方案”，办公厅是四川省人大常委会的办事工作机构，主要职能是：</w:t>
      </w:r>
    </w:p>
    <w:p>
      <w:pPr>
        <w:snapToGrid w:val="0"/>
        <w:spacing w:line="540" w:lineRule="exact"/>
        <w:ind w:firstLine="643" w:firstLineChars="200"/>
        <w:rPr>
          <w:rFonts w:eastAsia="方正仿宋简体"/>
          <w:b/>
          <w:bCs/>
          <w:color w:val="auto"/>
          <w:sz w:val="32"/>
          <w:szCs w:val="32"/>
        </w:rPr>
      </w:pPr>
      <w:r>
        <w:rPr>
          <w:rFonts w:eastAsia="方正仿宋简体"/>
          <w:b/>
          <w:bCs/>
          <w:color w:val="auto"/>
          <w:sz w:val="32"/>
          <w:szCs w:val="32"/>
        </w:rPr>
        <w:t>承担省人民代表大会会议、常委会会议、常委会党组会议、常委会主任会议和秘书长办公会议、机关党组会议的会务工作及会议决定事项的督办工作。</w:t>
      </w:r>
    </w:p>
    <w:p>
      <w:pPr>
        <w:snapToGrid w:val="0"/>
        <w:spacing w:line="540" w:lineRule="exact"/>
        <w:ind w:firstLine="643" w:firstLineChars="200"/>
        <w:rPr>
          <w:rFonts w:eastAsia="方正仿宋简体"/>
          <w:b/>
          <w:bCs/>
          <w:color w:val="auto"/>
          <w:sz w:val="32"/>
          <w:szCs w:val="32"/>
        </w:rPr>
      </w:pPr>
      <w:r>
        <w:rPr>
          <w:rFonts w:eastAsia="方正仿宋简体"/>
          <w:b/>
          <w:bCs/>
          <w:color w:val="auto"/>
          <w:sz w:val="32"/>
          <w:szCs w:val="32"/>
        </w:rPr>
        <w:t>负责常委会组成人员视察和常委会执法检查的有关工作。</w:t>
      </w:r>
    </w:p>
    <w:p>
      <w:pPr>
        <w:snapToGrid w:val="0"/>
        <w:spacing w:line="540" w:lineRule="exact"/>
        <w:ind w:firstLine="643" w:firstLineChars="200"/>
        <w:rPr>
          <w:rFonts w:eastAsia="方正仿宋简体"/>
          <w:b/>
          <w:bCs/>
          <w:color w:val="auto"/>
          <w:sz w:val="32"/>
          <w:szCs w:val="32"/>
        </w:rPr>
      </w:pPr>
      <w:r>
        <w:rPr>
          <w:rFonts w:eastAsia="方正仿宋简体"/>
          <w:b/>
          <w:bCs/>
          <w:color w:val="auto"/>
          <w:sz w:val="32"/>
          <w:szCs w:val="32"/>
        </w:rPr>
        <w:t>负责省人大及其常委会的文电、档案、保密、文印工作；负责常委会机关信息网络建设和办公自动化建设；负责编辑出版《四川省人大常委会公报》。</w:t>
      </w:r>
    </w:p>
    <w:p>
      <w:pPr>
        <w:snapToGrid w:val="0"/>
        <w:spacing w:line="540" w:lineRule="exact"/>
        <w:ind w:firstLine="643" w:firstLineChars="200"/>
        <w:rPr>
          <w:rFonts w:eastAsia="方正仿宋简体"/>
          <w:b/>
          <w:bCs/>
          <w:color w:val="auto"/>
          <w:sz w:val="32"/>
          <w:szCs w:val="32"/>
        </w:rPr>
      </w:pPr>
      <w:r>
        <w:rPr>
          <w:rFonts w:eastAsia="方正仿宋简体"/>
          <w:b/>
          <w:bCs/>
          <w:color w:val="auto"/>
          <w:sz w:val="32"/>
          <w:szCs w:val="32"/>
        </w:rPr>
        <w:t>受主任会议委托，拟订有关议案草案。</w:t>
      </w:r>
    </w:p>
    <w:p>
      <w:pPr>
        <w:snapToGrid w:val="0"/>
        <w:spacing w:line="540" w:lineRule="exact"/>
        <w:ind w:firstLine="643" w:firstLineChars="200"/>
        <w:rPr>
          <w:rFonts w:eastAsia="方正仿宋简体"/>
          <w:b/>
          <w:bCs/>
          <w:color w:val="auto"/>
          <w:sz w:val="32"/>
          <w:szCs w:val="32"/>
        </w:rPr>
      </w:pPr>
      <w:r>
        <w:rPr>
          <w:rFonts w:eastAsia="方正仿宋简体"/>
          <w:b/>
          <w:bCs/>
          <w:color w:val="auto"/>
          <w:sz w:val="32"/>
          <w:szCs w:val="32"/>
        </w:rPr>
        <w:t>承办省人大常委会同各市、州、县人大常委会联系的有关工作。</w:t>
      </w:r>
    </w:p>
    <w:p>
      <w:pPr>
        <w:snapToGrid w:val="0"/>
        <w:spacing w:line="540" w:lineRule="exact"/>
        <w:ind w:firstLine="643" w:firstLineChars="200"/>
        <w:rPr>
          <w:rFonts w:eastAsia="方正仿宋简体"/>
          <w:b/>
          <w:bCs/>
          <w:color w:val="auto"/>
          <w:sz w:val="32"/>
          <w:szCs w:val="32"/>
        </w:rPr>
      </w:pPr>
      <w:r>
        <w:rPr>
          <w:rFonts w:eastAsia="方正仿宋简体"/>
          <w:b/>
          <w:bCs/>
          <w:color w:val="auto"/>
          <w:sz w:val="32"/>
          <w:szCs w:val="32"/>
        </w:rPr>
        <w:t>负责省人大常委会的新闻发布会和宣传工作，组织对省人民代表大会</w:t>
      </w:r>
      <w:r>
        <w:rPr>
          <w:rFonts w:hint="eastAsia" w:eastAsia="方正仿宋简体"/>
          <w:b/>
          <w:bCs/>
          <w:color w:val="auto"/>
          <w:sz w:val="32"/>
          <w:szCs w:val="32"/>
          <w:lang w:eastAsia="zh-CN"/>
        </w:rPr>
        <w:t>会议</w:t>
      </w:r>
      <w:r>
        <w:rPr>
          <w:rFonts w:eastAsia="方正仿宋简体"/>
          <w:b/>
          <w:bCs/>
          <w:color w:val="auto"/>
          <w:sz w:val="32"/>
          <w:szCs w:val="32"/>
        </w:rPr>
        <w:t>、常委会会议、常委会主任会议以及对民主法制建设、人大制度、人大工作的宣传报道。受常委会委托，负责联系新闻宣传部门，分管《人民权力报》和《民主法制建设》杂志。</w:t>
      </w:r>
    </w:p>
    <w:p>
      <w:pPr>
        <w:snapToGrid w:val="0"/>
        <w:spacing w:line="540" w:lineRule="exact"/>
        <w:ind w:firstLine="643" w:firstLineChars="200"/>
        <w:rPr>
          <w:rFonts w:eastAsia="方正仿宋简体"/>
          <w:b/>
          <w:bCs/>
          <w:color w:val="auto"/>
          <w:sz w:val="32"/>
          <w:szCs w:val="32"/>
        </w:rPr>
      </w:pPr>
      <w:r>
        <w:rPr>
          <w:rFonts w:eastAsia="方正仿宋简体"/>
          <w:b/>
          <w:bCs/>
          <w:color w:val="auto"/>
          <w:sz w:val="32"/>
          <w:szCs w:val="32"/>
        </w:rPr>
        <w:t>负责省人大机关的机构编制、人事管理、干部培训工作及离退休人员的管理服务工作。</w:t>
      </w:r>
    </w:p>
    <w:p>
      <w:pPr>
        <w:snapToGrid w:val="0"/>
        <w:spacing w:line="540" w:lineRule="exact"/>
        <w:ind w:firstLine="643" w:firstLineChars="200"/>
        <w:rPr>
          <w:rFonts w:eastAsia="方正仿宋简体"/>
          <w:b/>
          <w:bCs/>
          <w:color w:val="auto"/>
          <w:sz w:val="32"/>
          <w:szCs w:val="32"/>
        </w:rPr>
      </w:pPr>
      <w:r>
        <w:rPr>
          <w:rFonts w:eastAsia="方正仿宋简体"/>
          <w:b/>
          <w:bCs/>
          <w:color w:val="auto"/>
          <w:sz w:val="32"/>
          <w:szCs w:val="32"/>
        </w:rPr>
        <w:t>负责省人大机关、锦江大礼堂的安全保卫和管理工作。</w:t>
      </w:r>
    </w:p>
    <w:p>
      <w:pPr>
        <w:snapToGrid w:val="0"/>
        <w:spacing w:line="540" w:lineRule="exact"/>
        <w:ind w:firstLine="643" w:firstLineChars="200"/>
        <w:rPr>
          <w:rFonts w:eastAsia="方正仿宋简体"/>
          <w:b/>
          <w:bCs/>
          <w:color w:val="auto"/>
          <w:sz w:val="32"/>
          <w:szCs w:val="32"/>
        </w:rPr>
      </w:pPr>
      <w:r>
        <w:rPr>
          <w:rFonts w:eastAsia="方正仿宋简体"/>
          <w:b/>
          <w:bCs/>
          <w:color w:val="auto"/>
          <w:sz w:val="32"/>
          <w:szCs w:val="32"/>
        </w:rPr>
        <w:t>协办全国人大常委会领导同志来川视察的接待工作，承办兄弟省</w:t>
      </w:r>
      <w:r>
        <w:rPr>
          <w:rFonts w:hint="eastAsia" w:eastAsia="方正仿宋简体"/>
          <w:b/>
          <w:bCs/>
          <w:color w:val="auto"/>
          <w:sz w:val="32"/>
          <w:szCs w:val="32"/>
          <w:lang w:eastAsia="zh-CN"/>
        </w:rPr>
        <w:t>（</w:t>
      </w:r>
      <w:r>
        <w:rPr>
          <w:rFonts w:eastAsia="方正仿宋简体"/>
          <w:b/>
          <w:bCs/>
          <w:color w:val="auto"/>
          <w:sz w:val="32"/>
          <w:szCs w:val="32"/>
        </w:rPr>
        <w:t>区、市</w:t>
      </w:r>
      <w:r>
        <w:rPr>
          <w:rFonts w:hint="eastAsia" w:eastAsia="方正仿宋简体"/>
          <w:b/>
          <w:bCs/>
          <w:color w:val="auto"/>
          <w:sz w:val="32"/>
          <w:szCs w:val="32"/>
          <w:lang w:eastAsia="zh-CN"/>
        </w:rPr>
        <w:t>）</w:t>
      </w:r>
      <w:r>
        <w:rPr>
          <w:rFonts w:eastAsia="方正仿宋简体"/>
          <w:b/>
          <w:bCs/>
          <w:color w:val="auto"/>
          <w:sz w:val="32"/>
          <w:szCs w:val="32"/>
        </w:rPr>
        <w:t>人大常委会领导同志来川考察的接待工作。</w:t>
      </w:r>
    </w:p>
    <w:p>
      <w:pPr>
        <w:snapToGrid w:val="0"/>
        <w:spacing w:line="540" w:lineRule="exact"/>
        <w:ind w:firstLine="643" w:firstLineChars="200"/>
        <w:rPr>
          <w:rFonts w:eastAsia="方正仿宋简体"/>
          <w:b/>
          <w:bCs/>
          <w:color w:val="auto"/>
          <w:sz w:val="32"/>
          <w:szCs w:val="32"/>
        </w:rPr>
      </w:pPr>
      <w:r>
        <w:rPr>
          <w:rFonts w:eastAsia="方正仿宋简体"/>
          <w:b/>
          <w:bCs/>
          <w:color w:val="auto"/>
          <w:sz w:val="32"/>
          <w:szCs w:val="32"/>
        </w:rPr>
        <w:t>负责省人大机关的财务管理、国有资产管理工作。</w:t>
      </w:r>
    </w:p>
    <w:p>
      <w:pPr>
        <w:snapToGrid w:val="0"/>
        <w:spacing w:line="540" w:lineRule="exact"/>
        <w:ind w:firstLine="643" w:firstLineChars="200"/>
        <w:rPr>
          <w:rFonts w:eastAsia="方正仿宋简体"/>
          <w:b/>
          <w:bCs/>
          <w:color w:val="auto"/>
          <w:sz w:val="32"/>
          <w:szCs w:val="32"/>
        </w:rPr>
      </w:pPr>
      <w:r>
        <w:rPr>
          <w:rFonts w:eastAsia="方正仿宋简体"/>
          <w:b/>
          <w:bCs/>
          <w:color w:val="auto"/>
          <w:sz w:val="32"/>
          <w:szCs w:val="32"/>
        </w:rPr>
        <w:t>受省人大常委会、常委会党组会议、常委会主任会议、机关党组会议、秘书长办公会议和常委会主任、副主任、秘书长的委托，综合协调常委会及专门委员会办事工作机构的工作。</w:t>
      </w:r>
    </w:p>
    <w:p>
      <w:pPr>
        <w:snapToGrid w:val="0"/>
        <w:spacing w:line="540" w:lineRule="exact"/>
        <w:ind w:firstLine="643" w:firstLineChars="200"/>
        <w:rPr>
          <w:rFonts w:eastAsia="方正仿宋简体"/>
          <w:b/>
          <w:bCs/>
          <w:color w:val="auto"/>
          <w:sz w:val="32"/>
          <w:szCs w:val="32"/>
        </w:rPr>
      </w:pPr>
      <w:r>
        <w:rPr>
          <w:rFonts w:eastAsia="方正仿宋简体"/>
          <w:b/>
          <w:bCs/>
          <w:color w:val="auto"/>
          <w:sz w:val="32"/>
          <w:szCs w:val="32"/>
        </w:rPr>
        <w:t>承办省人大常委会、常委会党组会议、常委会主任会议、机关党组会议、秘书长办公会议和常委会主任、副主任、秘书长、副秘书长交办的有关工作。</w:t>
      </w:r>
    </w:p>
    <w:p>
      <w:pPr>
        <w:pStyle w:val="2"/>
        <w:pageBreakBefore w:val="0"/>
        <w:widowControl w:val="0"/>
        <w:kinsoku/>
        <w:wordWrap/>
        <w:overflowPunct/>
        <w:topLinePunct w:val="0"/>
        <w:autoSpaceDE/>
        <w:autoSpaceDN/>
        <w:bidi w:val="0"/>
        <w:adjustRightInd w:val="0"/>
        <w:snapToGrid w:val="0"/>
        <w:spacing w:beforeLines="0" w:line="560" w:lineRule="exact"/>
        <w:ind w:firstLine="643" w:firstLineChars="200"/>
        <w:jc w:val="both"/>
        <w:textAlignment w:val="auto"/>
        <w:outlineLvl w:val="2"/>
        <w:rPr>
          <w:rFonts w:hint="eastAsia" w:ascii="方正楷体简体" w:hAnsi="方正楷体简体" w:eastAsia="方正楷体简体" w:cs="方正楷体简体"/>
          <w:b/>
          <w:bCs/>
          <w:color w:val="auto"/>
          <w:sz w:val="32"/>
          <w:szCs w:val="32"/>
          <w:highlight w:val="none"/>
          <w:lang w:eastAsia="zh-CN"/>
        </w:rPr>
      </w:pPr>
      <w:r>
        <w:rPr>
          <w:rFonts w:hint="eastAsia" w:ascii="方正楷体简体" w:hAnsi="方正楷体简体" w:eastAsia="方正楷体简体" w:cs="方正楷体简体"/>
          <w:b/>
          <w:bCs/>
          <w:color w:val="auto"/>
          <w:sz w:val="32"/>
          <w:szCs w:val="32"/>
          <w:highlight w:val="none"/>
          <w:lang w:eastAsia="zh-CN"/>
        </w:rPr>
        <w:t>（三）人员概况</w:t>
      </w:r>
    </w:p>
    <w:p>
      <w:pPr>
        <w:snapToGrid w:val="0"/>
        <w:spacing w:line="540" w:lineRule="exact"/>
        <w:ind w:firstLine="643" w:firstLineChars="200"/>
        <w:rPr>
          <w:rFonts w:eastAsia="仿宋"/>
          <w:b/>
          <w:bCs/>
          <w:color w:val="auto"/>
          <w:sz w:val="32"/>
          <w:szCs w:val="32"/>
        </w:rPr>
      </w:pPr>
      <w:r>
        <w:rPr>
          <w:rFonts w:eastAsia="方正仿宋简体"/>
          <w:b/>
          <w:bCs/>
          <w:color w:val="auto"/>
          <w:sz w:val="32"/>
          <w:szCs w:val="32"/>
        </w:rPr>
        <w:t>人员编制情况：截至2020年12月31日，编制人数为315人，实有人数为264人。</w:t>
      </w:r>
    </w:p>
    <w:p>
      <w:pPr>
        <w:snapToGrid w:val="0"/>
        <w:spacing w:line="540" w:lineRule="exact"/>
        <w:ind w:firstLine="643" w:firstLineChars="200"/>
        <w:rPr>
          <w:rFonts w:eastAsia="方正黑体简体"/>
          <w:b/>
          <w:bCs/>
          <w:color w:val="auto"/>
          <w:sz w:val="32"/>
          <w:szCs w:val="32"/>
        </w:rPr>
      </w:pPr>
      <w:r>
        <w:rPr>
          <w:rFonts w:eastAsia="方正黑体简体"/>
          <w:b/>
          <w:bCs/>
          <w:color w:val="auto"/>
          <w:sz w:val="32"/>
          <w:szCs w:val="32"/>
        </w:rPr>
        <w:t>二、部门财政资金收支情况</w:t>
      </w:r>
    </w:p>
    <w:p>
      <w:pPr>
        <w:snapToGrid w:val="0"/>
        <w:spacing w:line="540" w:lineRule="exact"/>
        <w:ind w:firstLine="643" w:firstLineChars="200"/>
        <w:rPr>
          <w:rFonts w:eastAsia="方正仿宋简体"/>
          <w:b/>
          <w:bCs/>
          <w:color w:val="auto"/>
          <w:sz w:val="32"/>
          <w:szCs w:val="32"/>
        </w:rPr>
      </w:pPr>
      <w:r>
        <w:rPr>
          <w:rFonts w:eastAsia="方正仿宋简体"/>
          <w:b/>
          <w:bCs/>
          <w:color w:val="auto"/>
          <w:sz w:val="32"/>
          <w:szCs w:val="32"/>
        </w:rPr>
        <w:t>部门财政资金收入情况：根据部门决算报表，2020年财政资金收入为13437.29万元。其中：办公厅本级收入12439.11万元、四川省省级机关老干部休养三所收入334.3</w:t>
      </w:r>
      <w:r>
        <w:rPr>
          <w:rFonts w:hint="eastAsia" w:eastAsia="方正仿宋简体"/>
          <w:b/>
          <w:bCs/>
          <w:color w:val="auto"/>
          <w:sz w:val="32"/>
          <w:szCs w:val="32"/>
          <w:lang w:val="en-US" w:eastAsia="zh-CN"/>
        </w:rPr>
        <w:t>5</w:t>
      </w:r>
      <w:r>
        <w:rPr>
          <w:rFonts w:eastAsia="方正仿宋简体"/>
          <w:b/>
          <w:bCs/>
          <w:color w:val="auto"/>
          <w:sz w:val="32"/>
          <w:szCs w:val="32"/>
        </w:rPr>
        <w:t>万元、省人大常委会办公厅机关服务中心收入616.85万元、省人大常委会办公厅信息中心收入46.98万元。</w:t>
      </w:r>
    </w:p>
    <w:p>
      <w:pPr>
        <w:snapToGrid w:val="0"/>
        <w:spacing w:line="540" w:lineRule="exact"/>
        <w:ind w:firstLine="643" w:firstLineChars="200"/>
        <w:rPr>
          <w:rFonts w:eastAsia="方正仿宋简体"/>
          <w:b/>
          <w:bCs/>
          <w:color w:val="auto"/>
          <w:sz w:val="32"/>
          <w:szCs w:val="32"/>
        </w:rPr>
      </w:pPr>
      <w:r>
        <w:rPr>
          <w:rFonts w:eastAsia="方正仿宋简体"/>
          <w:b/>
          <w:bCs/>
          <w:color w:val="auto"/>
          <w:sz w:val="32"/>
          <w:szCs w:val="32"/>
        </w:rPr>
        <w:t>部门财政资金支出情况：根据2020年部门决算报表，2020年财政资金支出为13437.29万元。其中：办公厅本级支出12439.11万元、四川省省级机关老干部休养三所支出334.3</w:t>
      </w:r>
      <w:r>
        <w:rPr>
          <w:rFonts w:hint="eastAsia" w:eastAsia="方正仿宋简体"/>
          <w:b/>
          <w:bCs/>
          <w:color w:val="auto"/>
          <w:sz w:val="32"/>
          <w:szCs w:val="32"/>
          <w:lang w:val="en-US" w:eastAsia="zh-CN"/>
        </w:rPr>
        <w:t>5</w:t>
      </w:r>
      <w:r>
        <w:rPr>
          <w:rFonts w:eastAsia="方正仿宋简体"/>
          <w:b/>
          <w:bCs/>
          <w:color w:val="auto"/>
          <w:sz w:val="32"/>
          <w:szCs w:val="32"/>
        </w:rPr>
        <w:t>万元、省人大常委会办公厅机关服务中心支出616.85万元、省人大常委会办公厅信息中心支出46.98万元。</w:t>
      </w:r>
    </w:p>
    <w:p>
      <w:pPr>
        <w:snapToGrid w:val="0"/>
        <w:spacing w:line="540" w:lineRule="exact"/>
        <w:ind w:firstLine="643" w:firstLineChars="200"/>
        <w:rPr>
          <w:rFonts w:eastAsia="方正黑体简体"/>
          <w:b/>
          <w:bCs/>
          <w:color w:val="auto"/>
          <w:sz w:val="32"/>
          <w:szCs w:val="32"/>
        </w:rPr>
      </w:pPr>
      <w:r>
        <w:rPr>
          <w:rFonts w:eastAsia="方正黑体简体"/>
          <w:b/>
          <w:bCs/>
          <w:color w:val="auto"/>
          <w:sz w:val="32"/>
          <w:szCs w:val="32"/>
        </w:rPr>
        <w:t>三、部门整体预算绩效管理情况</w:t>
      </w:r>
    </w:p>
    <w:p>
      <w:pPr>
        <w:pStyle w:val="2"/>
        <w:pageBreakBefore w:val="0"/>
        <w:widowControl w:val="0"/>
        <w:kinsoku/>
        <w:wordWrap/>
        <w:overflowPunct/>
        <w:topLinePunct w:val="0"/>
        <w:autoSpaceDE/>
        <w:autoSpaceDN/>
        <w:bidi w:val="0"/>
        <w:adjustRightInd w:val="0"/>
        <w:snapToGrid w:val="0"/>
        <w:spacing w:beforeLines="0" w:line="560" w:lineRule="exact"/>
        <w:ind w:firstLine="643" w:firstLineChars="200"/>
        <w:jc w:val="both"/>
        <w:textAlignment w:val="auto"/>
        <w:outlineLvl w:val="2"/>
        <w:rPr>
          <w:rFonts w:hint="eastAsia" w:ascii="方正楷体简体" w:hAnsi="方正楷体简体" w:eastAsia="方正楷体简体" w:cs="方正楷体简体"/>
          <w:b/>
          <w:bCs/>
          <w:color w:val="auto"/>
          <w:sz w:val="32"/>
          <w:szCs w:val="32"/>
          <w:highlight w:val="none"/>
          <w:lang w:eastAsia="zh-CN"/>
        </w:rPr>
      </w:pPr>
      <w:r>
        <w:rPr>
          <w:rFonts w:hint="eastAsia" w:ascii="方正楷体简体" w:hAnsi="方正楷体简体" w:eastAsia="方正楷体简体" w:cs="方正楷体简体"/>
          <w:b/>
          <w:bCs/>
          <w:color w:val="auto"/>
          <w:sz w:val="32"/>
          <w:szCs w:val="32"/>
          <w:highlight w:val="none"/>
          <w:lang w:eastAsia="zh-CN"/>
        </w:rPr>
        <w:t>（一）预算编制（自评得分合计28.93分）</w:t>
      </w:r>
    </w:p>
    <w:p>
      <w:pPr>
        <w:snapToGrid w:val="0"/>
        <w:spacing w:line="540" w:lineRule="exact"/>
        <w:ind w:firstLine="643" w:firstLineChars="200"/>
        <w:rPr>
          <w:rFonts w:eastAsia="方正仿宋简体"/>
          <w:b/>
          <w:bCs/>
          <w:color w:val="auto"/>
          <w:sz w:val="32"/>
          <w:szCs w:val="32"/>
        </w:rPr>
      </w:pPr>
      <w:r>
        <w:rPr>
          <w:rFonts w:eastAsia="方正仿宋简体"/>
          <w:b/>
          <w:bCs/>
          <w:color w:val="auto"/>
          <w:sz w:val="32"/>
          <w:szCs w:val="32"/>
        </w:rPr>
        <w:t>1.目标制定：办公厅以实现部门职能职责为导向，结合2020年度办公厅整体工作计划和目标任务，科学合理设置了部门整体支出绩效目标。专用项目绩效目标编制过程中，由资金使用部门根据项目实施方案、计划和预期将达到的绩效目标如实填报效果目标，做到了绩效目标符合专用项目特点。部门整体支出绩效和项目支出绩效目标编制后，经办公厅审核，确保预算金额和绩效目标相匹配。</w:t>
      </w:r>
    </w:p>
    <w:p>
      <w:pPr>
        <w:snapToGrid w:val="0"/>
        <w:spacing w:line="540" w:lineRule="exact"/>
        <w:ind w:firstLine="643" w:firstLineChars="200"/>
        <w:rPr>
          <w:rFonts w:eastAsia="方正仿宋简体"/>
          <w:b/>
          <w:bCs/>
          <w:color w:val="auto"/>
          <w:sz w:val="32"/>
          <w:szCs w:val="32"/>
        </w:rPr>
      </w:pPr>
      <w:r>
        <w:rPr>
          <w:rFonts w:eastAsia="方正仿宋简体"/>
          <w:b/>
          <w:bCs/>
          <w:color w:val="auto"/>
          <w:sz w:val="32"/>
          <w:szCs w:val="32"/>
        </w:rPr>
        <w:t>绩效目标符合预算绩效目标管理办法。办公厅围绕部门职能，以预算资金管理为主线，统筹考虑资产和业务活动，从运行成本、管理效率、履职效能、社会效益、可持续发展能力和服务对象满意度方面，设定绩效目标，衡量部门整体和部分专用项目预算执行效果。绩效目标编制与相应的资金使用内容、范围、方向紧密相关，指向明确。指标值采用定量表述和定性表述相结合的办法，充分细化量化。根据上述情况，该项得分10分。</w:t>
      </w:r>
    </w:p>
    <w:p>
      <w:pPr>
        <w:snapToGrid w:val="0"/>
        <w:spacing w:line="540" w:lineRule="exact"/>
        <w:ind w:firstLine="643" w:firstLineChars="200"/>
        <w:rPr>
          <w:rFonts w:eastAsia="方正仿宋简体"/>
          <w:b/>
          <w:bCs/>
          <w:color w:val="auto"/>
          <w:sz w:val="32"/>
          <w:szCs w:val="32"/>
        </w:rPr>
      </w:pPr>
      <w:r>
        <w:rPr>
          <w:rFonts w:eastAsia="方正仿宋简体"/>
          <w:b/>
          <w:bCs/>
          <w:color w:val="auto"/>
          <w:sz w:val="32"/>
          <w:szCs w:val="32"/>
        </w:rPr>
        <w:t>2.目标实现：“2020年，在省委坚强领导下，省十三届人大三次会议以来，省人大常委会共召开7次会议，审议21件省级地方性法规，通过10件，其中制定3件，修改4件，废止3件；审查批准41件市州地方性法规和民族自治地方单行条例；听取和审议32个专项工作报告；开展8项重点课题调研；对15部法律法规实施情况进行检查，对6项有关法律问题和重大问题作出决定决议；审议通过19件任免案，依法任免164人次国家机关工作人员；完成了省十三届人大三次会议确定的任务。”办公厅服务保障好常委会完成年度工作任务和目标，达到预算整体支出绩效目标。</w:t>
      </w:r>
    </w:p>
    <w:p>
      <w:pPr>
        <w:snapToGrid w:val="0"/>
        <w:spacing w:line="540" w:lineRule="exact"/>
        <w:ind w:firstLine="643" w:firstLineChars="200"/>
        <w:rPr>
          <w:rFonts w:eastAsia="方正仿宋简体"/>
          <w:b/>
          <w:bCs/>
          <w:color w:val="auto"/>
          <w:sz w:val="32"/>
          <w:szCs w:val="32"/>
        </w:rPr>
      </w:pPr>
      <w:r>
        <w:rPr>
          <w:rFonts w:eastAsia="方正仿宋简体"/>
          <w:b/>
          <w:bCs/>
          <w:color w:val="auto"/>
          <w:sz w:val="32"/>
          <w:szCs w:val="32"/>
        </w:rPr>
        <w:t>可持续发展能力：办公厅在省人大常委会领导下，贯彻全面从严治党要求，切实增强“四个意识”、坚定“四个自信”、做到“两个维护”，坚持以党的政治建设为统领，全面加强思想、组织、作风、纪律、制度建设，充分运用“不忘初心、牢记使命”主题教育成果，持续深化“四讲四有”人大建设，推动自身建设取得新进步。</w:t>
      </w:r>
    </w:p>
    <w:p>
      <w:pPr>
        <w:snapToGrid w:val="0"/>
        <w:spacing w:line="540" w:lineRule="exact"/>
        <w:ind w:firstLine="643" w:firstLineChars="200"/>
        <w:rPr>
          <w:rFonts w:eastAsia="方正仿宋简体"/>
          <w:b/>
          <w:bCs/>
          <w:color w:val="auto"/>
          <w:sz w:val="32"/>
          <w:szCs w:val="32"/>
        </w:rPr>
      </w:pPr>
      <w:r>
        <w:rPr>
          <w:rFonts w:eastAsia="方正仿宋简体"/>
          <w:b/>
          <w:bCs/>
          <w:color w:val="auto"/>
          <w:sz w:val="32"/>
          <w:szCs w:val="32"/>
        </w:rPr>
        <w:t>社会效益和满意度情况：办公厅在省人大常委会领导下，健全完善代表议案建议办理机制，强化精准交办、重点督办、跟踪查办、定期催办，切实提高办理质量。省十三届人大三次会议代表提出的17件议案，已全部审议完毕，所涉及的12件立法项目，其中2件已进入审议程序，4件已纳入立法计划或规划，2件待上位法修改后作相应修改，4件作进一步调研论证。代表提出的1031件建议，已全部办理完毕，代表建议办理满意率、基本满意率达99.3%。同时，选取意见较为集中、反映较为突出的10件建议，作为常委会重点督办任务，由常委会领导牵头，专委会协调，相关部门办理，取得了良好效果。</w:t>
      </w:r>
    </w:p>
    <w:p>
      <w:pPr>
        <w:snapToGrid w:val="0"/>
        <w:spacing w:line="540" w:lineRule="exact"/>
        <w:ind w:firstLine="643" w:firstLineChars="200"/>
        <w:rPr>
          <w:rFonts w:eastAsia="方正仿宋简体"/>
          <w:b/>
          <w:bCs/>
          <w:color w:val="auto"/>
          <w:sz w:val="32"/>
          <w:szCs w:val="32"/>
        </w:rPr>
      </w:pPr>
      <w:r>
        <w:rPr>
          <w:rFonts w:eastAsia="方正仿宋简体"/>
          <w:b/>
          <w:bCs/>
          <w:color w:val="auto"/>
          <w:sz w:val="32"/>
          <w:szCs w:val="32"/>
        </w:rPr>
        <w:t>2020年因新冠</w:t>
      </w:r>
      <w:r>
        <w:rPr>
          <w:rFonts w:hint="eastAsia" w:eastAsia="方正仿宋简体"/>
          <w:b/>
          <w:bCs/>
          <w:color w:val="auto"/>
          <w:sz w:val="32"/>
          <w:szCs w:val="32"/>
          <w:lang w:eastAsia="zh-CN"/>
        </w:rPr>
        <w:t>肺炎</w:t>
      </w:r>
      <w:r>
        <w:rPr>
          <w:rFonts w:eastAsia="方正仿宋简体"/>
          <w:b/>
          <w:bCs/>
          <w:color w:val="auto"/>
          <w:sz w:val="32"/>
          <w:szCs w:val="32"/>
        </w:rPr>
        <w:t>疫情影响，代表履职能力提升经费未完成年度培训计划，扣1分，上述共计得分9分。</w:t>
      </w:r>
    </w:p>
    <w:p>
      <w:pPr>
        <w:snapToGrid w:val="0"/>
        <w:spacing w:line="540" w:lineRule="exact"/>
        <w:ind w:firstLine="643" w:firstLineChars="200"/>
        <w:rPr>
          <w:rFonts w:eastAsia="方正仿宋简体"/>
          <w:b/>
          <w:bCs/>
          <w:color w:val="auto"/>
          <w:sz w:val="32"/>
          <w:szCs w:val="32"/>
        </w:rPr>
      </w:pPr>
      <w:r>
        <w:rPr>
          <w:rFonts w:eastAsia="方正仿宋简体"/>
          <w:b/>
          <w:bCs/>
          <w:color w:val="auto"/>
          <w:sz w:val="32"/>
          <w:szCs w:val="32"/>
        </w:rPr>
        <w:t>3.编制准确：全年预算调剂金额66.75万元，评分标准满分10分，根据评分公式计算，得分9.93分。</w:t>
      </w:r>
    </w:p>
    <w:p>
      <w:pPr>
        <w:pStyle w:val="2"/>
        <w:pageBreakBefore w:val="0"/>
        <w:widowControl w:val="0"/>
        <w:kinsoku/>
        <w:wordWrap/>
        <w:overflowPunct/>
        <w:topLinePunct w:val="0"/>
        <w:autoSpaceDE/>
        <w:autoSpaceDN/>
        <w:bidi w:val="0"/>
        <w:adjustRightInd w:val="0"/>
        <w:snapToGrid w:val="0"/>
        <w:spacing w:beforeLines="0" w:line="560" w:lineRule="exact"/>
        <w:ind w:firstLine="643" w:firstLineChars="200"/>
        <w:jc w:val="both"/>
        <w:textAlignment w:val="auto"/>
        <w:outlineLvl w:val="2"/>
        <w:rPr>
          <w:rFonts w:hint="eastAsia" w:ascii="方正楷体简体" w:hAnsi="方正楷体简体" w:eastAsia="方正楷体简体" w:cs="方正楷体简体"/>
          <w:b/>
          <w:bCs/>
          <w:color w:val="auto"/>
          <w:sz w:val="32"/>
          <w:szCs w:val="32"/>
          <w:highlight w:val="none"/>
          <w:lang w:eastAsia="zh-CN"/>
        </w:rPr>
      </w:pPr>
      <w:r>
        <w:rPr>
          <w:rFonts w:hint="eastAsia" w:ascii="方正楷体简体" w:hAnsi="方正楷体简体" w:eastAsia="方正楷体简体" w:cs="方正楷体简体"/>
          <w:b/>
          <w:bCs/>
          <w:color w:val="auto"/>
          <w:sz w:val="32"/>
          <w:szCs w:val="32"/>
          <w:highlight w:val="none"/>
          <w:lang w:eastAsia="zh-CN"/>
        </w:rPr>
        <w:t>（二）预算执行（自评得分合计29.42分）</w:t>
      </w:r>
    </w:p>
    <w:p>
      <w:pPr>
        <w:snapToGrid w:val="0"/>
        <w:spacing w:line="540" w:lineRule="exact"/>
        <w:ind w:firstLine="643" w:firstLineChars="200"/>
        <w:rPr>
          <w:rFonts w:eastAsia="方正仿宋简体"/>
          <w:b/>
          <w:bCs/>
          <w:color w:val="auto"/>
          <w:sz w:val="32"/>
          <w:szCs w:val="32"/>
        </w:rPr>
      </w:pPr>
      <w:r>
        <w:rPr>
          <w:rFonts w:eastAsia="方正仿宋简体"/>
          <w:b/>
          <w:bCs/>
          <w:color w:val="auto"/>
          <w:sz w:val="32"/>
          <w:szCs w:val="32"/>
        </w:rPr>
        <w:t>1.支出控制：2020年日常公用经费严格按照年初预算执行，年初预算数与年末决算数一致，得分10分。</w:t>
      </w:r>
    </w:p>
    <w:p>
      <w:pPr>
        <w:snapToGrid w:val="0"/>
        <w:spacing w:line="540" w:lineRule="exact"/>
        <w:ind w:firstLine="643" w:firstLineChars="200"/>
        <w:rPr>
          <w:rFonts w:eastAsia="方正仿宋简体"/>
          <w:b/>
          <w:bCs/>
          <w:color w:val="auto"/>
          <w:sz w:val="32"/>
          <w:szCs w:val="32"/>
        </w:rPr>
      </w:pPr>
      <w:r>
        <w:rPr>
          <w:rFonts w:eastAsia="方正仿宋简体"/>
          <w:b/>
          <w:bCs/>
          <w:color w:val="auto"/>
          <w:sz w:val="32"/>
          <w:szCs w:val="32"/>
        </w:rPr>
        <w:t>2.动态调整：2020年办公厅绩效监控取消额为零。预算结余注销额91.45万元，主要原因是公务用车运行维护费、公务接待费等</w:t>
      </w:r>
      <w:r>
        <w:rPr>
          <w:rFonts w:hint="eastAsia" w:eastAsia="方正仿宋简体"/>
          <w:b/>
          <w:bCs/>
          <w:color w:val="auto"/>
          <w:sz w:val="32"/>
          <w:szCs w:val="32"/>
          <w:lang w:eastAsia="zh-CN"/>
        </w:rPr>
        <w:t>结余注销</w:t>
      </w:r>
      <w:r>
        <w:rPr>
          <w:rFonts w:eastAsia="方正仿宋简体"/>
          <w:b/>
          <w:bCs/>
          <w:color w:val="auto"/>
          <w:sz w:val="32"/>
          <w:szCs w:val="32"/>
        </w:rPr>
        <w:t>，该项满分10分，根据计算公式，得分9.42分。</w:t>
      </w:r>
    </w:p>
    <w:p>
      <w:pPr>
        <w:snapToGrid w:val="0"/>
        <w:spacing w:line="540" w:lineRule="exact"/>
        <w:ind w:firstLine="643" w:firstLineChars="200"/>
        <w:rPr>
          <w:rFonts w:eastAsia="方正仿宋简体"/>
          <w:b/>
          <w:bCs/>
          <w:color w:val="auto"/>
          <w:sz w:val="32"/>
          <w:szCs w:val="32"/>
        </w:rPr>
      </w:pPr>
      <w:r>
        <w:rPr>
          <w:rFonts w:eastAsia="方正仿宋简体"/>
          <w:b/>
          <w:bCs/>
          <w:color w:val="auto"/>
          <w:sz w:val="32"/>
          <w:szCs w:val="32"/>
        </w:rPr>
        <w:t>3.执行进度：办公厅2020年6月部门预算执行进度为43.42%，高于要求的执行进度40%，得分3分；9月执行进度79.06%，高于要求的执行进度67.5%，得分4分；11月执行进度83% ，高于要求的执行进度82.5%，得分3分。以上满分10分，得分合计10分。</w:t>
      </w:r>
    </w:p>
    <w:p>
      <w:pPr>
        <w:pStyle w:val="2"/>
        <w:pageBreakBefore w:val="0"/>
        <w:widowControl w:val="0"/>
        <w:kinsoku/>
        <w:wordWrap/>
        <w:overflowPunct/>
        <w:topLinePunct w:val="0"/>
        <w:autoSpaceDE/>
        <w:autoSpaceDN/>
        <w:bidi w:val="0"/>
        <w:adjustRightInd w:val="0"/>
        <w:snapToGrid w:val="0"/>
        <w:spacing w:beforeLines="0" w:line="560" w:lineRule="exact"/>
        <w:ind w:firstLine="643" w:firstLineChars="200"/>
        <w:jc w:val="both"/>
        <w:textAlignment w:val="auto"/>
        <w:outlineLvl w:val="2"/>
        <w:rPr>
          <w:rFonts w:hint="eastAsia" w:ascii="方正楷体简体" w:hAnsi="方正楷体简体" w:eastAsia="方正楷体简体" w:cs="方正楷体简体"/>
          <w:b/>
          <w:bCs/>
          <w:color w:val="auto"/>
          <w:sz w:val="32"/>
          <w:szCs w:val="32"/>
          <w:highlight w:val="none"/>
          <w:lang w:eastAsia="zh-CN"/>
        </w:rPr>
      </w:pPr>
      <w:r>
        <w:rPr>
          <w:rFonts w:hint="eastAsia" w:ascii="方正楷体简体" w:hAnsi="方正楷体简体" w:eastAsia="方正楷体简体" w:cs="方正楷体简体"/>
          <w:b/>
          <w:bCs/>
          <w:color w:val="auto"/>
          <w:sz w:val="32"/>
          <w:szCs w:val="32"/>
          <w:highlight w:val="none"/>
          <w:lang w:eastAsia="zh-CN"/>
        </w:rPr>
        <w:t>（三）完成结果（自评得分合计15.01分）</w:t>
      </w:r>
    </w:p>
    <w:p>
      <w:pPr>
        <w:snapToGrid w:val="0"/>
        <w:spacing w:line="540" w:lineRule="exact"/>
        <w:ind w:firstLine="643" w:firstLineChars="200"/>
        <w:rPr>
          <w:rFonts w:eastAsia="方正仿宋简体"/>
          <w:b/>
          <w:bCs/>
          <w:color w:val="auto"/>
          <w:sz w:val="32"/>
          <w:szCs w:val="32"/>
        </w:rPr>
      </w:pPr>
      <w:r>
        <w:rPr>
          <w:rFonts w:eastAsia="方正仿宋简体"/>
          <w:b/>
          <w:bCs/>
          <w:color w:val="auto"/>
          <w:sz w:val="32"/>
          <w:szCs w:val="32"/>
        </w:rPr>
        <w:t>1</w:t>
      </w:r>
      <w:r>
        <w:rPr>
          <w:rFonts w:hint="eastAsia" w:eastAsia="方正仿宋简体"/>
          <w:b/>
          <w:bCs/>
          <w:color w:val="auto"/>
          <w:sz w:val="32"/>
          <w:szCs w:val="32"/>
          <w:lang w:val="en-US" w:eastAsia="zh-CN"/>
        </w:rPr>
        <w:t>.</w:t>
      </w:r>
      <w:r>
        <w:rPr>
          <w:rFonts w:eastAsia="方正仿宋简体"/>
          <w:b/>
          <w:bCs/>
          <w:color w:val="auto"/>
          <w:sz w:val="32"/>
          <w:szCs w:val="32"/>
        </w:rPr>
        <w:t xml:space="preserve">预算完成：办公厅12月部门预算执行进度95.1%，根据评分标准，满分10分，得分9.51分。  </w:t>
      </w:r>
    </w:p>
    <w:p>
      <w:pPr>
        <w:snapToGrid w:val="0"/>
        <w:spacing w:line="540" w:lineRule="exact"/>
        <w:ind w:firstLine="643" w:firstLineChars="200"/>
        <w:rPr>
          <w:rFonts w:eastAsia="方正仿宋简体"/>
          <w:b/>
          <w:bCs/>
          <w:color w:val="auto"/>
          <w:sz w:val="32"/>
          <w:szCs w:val="32"/>
        </w:rPr>
      </w:pPr>
      <w:r>
        <w:rPr>
          <w:rFonts w:eastAsia="方正仿宋简体"/>
          <w:b/>
          <w:bCs/>
          <w:color w:val="auto"/>
          <w:sz w:val="32"/>
          <w:szCs w:val="32"/>
        </w:rPr>
        <w:t>2</w:t>
      </w:r>
      <w:r>
        <w:rPr>
          <w:rFonts w:hint="eastAsia" w:eastAsia="方正仿宋简体"/>
          <w:b/>
          <w:bCs/>
          <w:color w:val="auto"/>
          <w:sz w:val="32"/>
          <w:szCs w:val="32"/>
          <w:lang w:val="en-US" w:eastAsia="zh-CN"/>
        </w:rPr>
        <w:t>.</w:t>
      </w:r>
      <w:r>
        <w:rPr>
          <w:rFonts w:eastAsia="方正仿宋简体"/>
          <w:b/>
          <w:bCs/>
          <w:color w:val="auto"/>
          <w:sz w:val="32"/>
          <w:szCs w:val="32"/>
        </w:rPr>
        <w:t>违规记录：办公厅全年接受省纪委监委驻省人大机关纪检监察组常态化监督检查，接受财政厅日常监督指导和审计厅的大数据审查，根据监督检查结果评价，得分5.5分。</w:t>
      </w:r>
    </w:p>
    <w:p>
      <w:pPr>
        <w:pStyle w:val="2"/>
        <w:pageBreakBefore w:val="0"/>
        <w:widowControl w:val="0"/>
        <w:kinsoku/>
        <w:wordWrap/>
        <w:overflowPunct/>
        <w:topLinePunct w:val="0"/>
        <w:autoSpaceDE/>
        <w:autoSpaceDN/>
        <w:bidi w:val="0"/>
        <w:adjustRightInd w:val="0"/>
        <w:snapToGrid w:val="0"/>
        <w:spacing w:beforeLines="0" w:line="560" w:lineRule="exact"/>
        <w:ind w:firstLine="643" w:firstLineChars="200"/>
        <w:jc w:val="both"/>
        <w:textAlignment w:val="auto"/>
        <w:outlineLvl w:val="2"/>
        <w:rPr>
          <w:rFonts w:hint="eastAsia" w:ascii="方正楷体简体" w:hAnsi="方正楷体简体" w:eastAsia="方正楷体简体" w:cs="方正楷体简体"/>
          <w:b/>
          <w:bCs/>
          <w:color w:val="auto"/>
          <w:sz w:val="32"/>
          <w:szCs w:val="32"/>
          <w:highlight w:val="none"/>
          <w:lang w:eastAsia="zh-CN"/>
        </w:rPr>
      </w:pPr>
      <w:r>
        <w:rPr>
          <w:rFonts w:hint="eastAsia" w:ascii="方正楷体简体" w:hAnsi="方正楷体简体" w:eastAsia="方正楷体简体" w:cs="方正楷体简体"/>
          <w:b/>
          <w:bCs/>
          <w:color w:val="auto"/>
          <w:sz w:val="32"/>
          <w:szCs w:val="32"/>
        </w:rPr>
        <w:t>（四）信息公开（自评得分合计2分）</w:t>
      </w:r>
    </w:p>
    <w:p>
      <w:pPr>
        <w:snapToGrid w:val="0"/>
        <w:spacing w:line="540" w:lineRule="exact"/>
        <w:ind w:firstLine="643" w:firstLineChars="200"/>
        <w:rPr>
          <w:rFonts w:eastAsia="方正仿宋简体"/>
          <w:b/>
          <w:bCs/>
          <w:color w:val="auto"/>
          <w:sz w:val="32"/>
          <w:szCs w:val="32"/>
        </w:rPr>
      </w:pPr>
      <w:r>
        <w:rPr>
          <w:rFonts w:eastAsia="方正仿宋简体"/>
          <w:b/>
          <w:bCs/>
          <w:color w:val="auto"/>
          <w:sz w:val="32"/>
          <w:szCs w:val="32"/>
        </w:rPr>
        <w:t>按照省财政厅的相关通知要求，办公厅在省财政厅批复预算、决算后的二十日内，在财政的统一时间及规定网站，除涉密信息外向社会公开了本部门的预算、决算信息（含所有财政资金安排的“三公”经费、机关运行经费的安排、使用情况等）、部门绩效目标和部门整体绩效自评情况，满分2分，得分共计2分。</w:t>
      </w:r>
    </w:p>
    <w:p>
      <w:pPr>
        <w:pStyle w:val="2"/>
        <w:pageBreakBefore w:val="0"/>
        <w:widowControl w:val="0"/>
        <w:kinsoku/>
        <w:wordWrap/>
        <w:overflowPunct/>
        <w:topLinePunct w:val="0"/>
        <w:autoSpaceDE/>
        <w:autoSpaceDN/>
        <w:bidi w:val="0"/>
        <w:adjustRightInd w:val="0"/>
        <w:snapToGrid w:val="0"/>
        <w:spacing w:beforeLines="0" w:line="560" w:lineRule="exact"/>
        <w:ind w:firstLine="643" w:firstLineChars="200"/>
        <w:jc w:val="both"/>
        <w:textAlignment w:val="auto"/>
        <w:outlineLvl w:val="2"/>
        <w:rPr>
          <w:rFonts w:hint="eastAsia" w:ascii="方正楷体简体" w:hAnsi="方正楷体简体" w:eastAsia="方正楷体简体" w:cs="方正楷体简体"/>
          <w:b/>
          <w:bCs/>
          <w:color w:val="auto"/>
          <w:sz w:val="32"/>
          <w:szCs w:val="32"/>
        </w:rPr>
      </w:pPr>
      <w:r>
        <w:rPr>
          <w:rFonts w:hint="eastAsia" w:ascii="方正楷体简体" w:hAnsi="方正楷体简体" w:eastAsia="方正楷体简体" w:cs="方正楷体简体"/>
          <w:b/>
          <w:bCs/>
          <w:color w:val="auto"/>
          <w:sz w:val="32"/>
          <w:szCs w:val="32"/>
        </w:rPr>
        <w:t>（五）整改反馈（自评得分合计8分）</w:t>
      </w:r>
    </w:p>
    <w:p>
      <w:pPr>
        <w:snapToGrid w:val="0"/>
        <w:spacing w:line="540" w:lineRule="exact"/>
        <w:ind w:firstLine="643" w:firstLineChars="200"/>
        <w:rPr>
          <w:rFonts w:eastAsia="方正仿宋简体"/>
          <w:b/>
          <w:bCs/>
          <w:color w:val="auto"/>
          <w:sz w:val="32"/>
          <w:szCs w:val="32"/>
        </w:rPr>
      </w:pPr>
      <w:r>
        <w:rPr>
          <w:rFonts w:eastAsia="方正仿宋简体"/>
          <w:b/>
          <w:bCs/>
          <w:color w:val="auto"/>
          <w:sz w:val="32"/>
          <w:szCs w:val="32"/>
        </w:rPr>
        <w:t>1.结果整改：办公厅根据2019年整体支出和项目支出绩效评价结果，以及2020年度预算绩效监控情况，拟定</w:t>
      </w:r>
      <w:r>
        <w:rPr>
          <w:rFonts w:hint="eastAsia" w:eastAsia="方正仿宋简体"/>
          <w:b/>
          <w:bCs/>
          <w:color w:val="auto"/>
          <w:sz w:val="32"/>
          <w:szCs w:val="32"/>
          <w:lang w:eastAsia="zh-CN"/>
        </w:rPr>
        <w:t>了</w:t>
      </w:r>
      <w:r>
        <w:rPr>
          <w:rFonts w:eastAsia="方正仿宋简体"/>
          <w:b/>
          <w:bCs/>
          <w:color w:val="auto"/>
          <w:sz w:val="32"/>
          <w:szCs w:val="32"/>
        </w:rPr>
        <w:t>预算绩效管理办法；根据预算执行情况修订</w:t>
      </w:r>
      <w:r>
        <w:rPr>
          <w:rFonts w:hint="eastAsia" w:eastAsia="方正仿宋简体"/>
          <w:b/>
          <w:bCs/>
          <w:color w:val="auto"/>
          <w:sz w:val="32"/>
          <w:szCs w:val="32"/>
          <w:lang w:eastAsia="zh-CN"/>
        </w:rPr>
        <w:t>了</w:t>
      </w:r>
      <w:r>
        <w:rPr>
          <w:rFonts w:eastAsia="方正仿宋简体"/>
          <w:b/>
          <w:bCs/>
          <w:color w:val="auto"/>
          <w:sz w:val="32"/>
          <w:szCs w:val="32"/>
        </w:rPr>
        <w:t>财务管理办法，在办法中增加预算绩效目标编制、调整和评价的相关规定，切实将预算绩效评价结果和年度预算内部分配方案挂钩，得分4分。</w:t>
      </w:r>
    </w:p>
    <w:p>
      <w:pPr>
        <w:snapToGrid w:val="0"/>
        <w:spacing w:line="540" w:lineRule="exact"/>
        <w:ind w:firstLine="643" w:firstLineChars="200"/>
        <w:rPr>
          <w:rFonts w:eastAsia="方正仿宋简体"/>
          <w:b/>
          <w:bCs/>
          <w:color w:val="auto"/>
          <w:sz w:val="32"/>
          <w:szCs w:val="32"/>
        </w:rPr>
      </w:pPr>
      <w:r>
        <w:rPr>
          <w:rFonts w:eastAsia="方正仿宋简体"/>
          <w:b/>
          <w:bCs/>
          <w:color w:val="auto"/>
          <w:sz w:val="32"/>
          <w:szCs w:val="32"/>
        </w:rPr>
        <w:t>2.应用反馈：严格落实省财厅绩效管理工作相关要求，认真完成年度预算绩效目标编制、日常动态监控、绩效评价和绩效评价结果运用工作，按时向财政厅报送相关情况，得分4分。</w:t>
      </w:r>
    </w:p>
    <w:p>
      <w:pPr>
        <w:snapToGrid w:val="0"/>
        <w:spacing w:line="540" w:lineRule="exact"/>
        <w:ind w:firstLine="643" w:firstLineChars="200"/>
        <w:rPr>
          <w:rFonts w:eastAsia="方正黑体简体"/>
          <w:b/>
          <w:bCs/>
          <w:color w:val="auto"/>
          <w:sz w:val="32"/>
          <w:szCs w:val="32"/>
        </w:rPr>
      </w:pPr>
      <w:r>
        <w:rPr>
          <w:rFonts w:eastAsia="方正黑体简体"/>
          <w:b/>
          <w:bCs/>
          <w:color w:val="auto"/>
          <w:sz w:val="32"/>
          <w:szCs w:val="32"/>
        </w:rPr>
        <w:t>四、评价结论及建议</w:t>
      </w:r>
    </w:p>
    <w:p>
      <w:pPr>
        <w:pStyle w:val="2"/>
        <w:pageBreakBefore w:val="0"/>
        <w:widowControl w:val="0"/>
        <w:kinsoku/>
        <w:wordWrap/>
        <w:overflowPunct/>
        <w:topLinePunct w:val="0"/>
        <w:autoSpaceDE/>
        <w:autoSpaceDN/>
        <w:bidi w:val="0"/>
        <w:adjustRightInd w:val="0"/>
        <w:snapToGrid w:val="0"/>
        <w:spacing w:beforeLines="0" w:line="560" w:lineRule="exact"/>
        <w:ind w:firstLine="643" w:firstLineChars="200"/>
        <w:jc w:val="both"/>
        <w:textAlignment w:val="auto"/>
        <w:outlineLvl w:val="2"/>
        <w:rPr>
          <w:rFonts w:hint="eastAsia" w:ascii="方正楷体简体" w:hAnsi="方正楷体简体" w:eastAsia="方正楷体简体" w:cs="方正楷体简体"/>
          <w:b/>
          <w:bCs/>
          <w:color w:val="auto"/>
          <w:sz w:val="32"/>
          <w:szCs w:val="32"/>
        </w:rPr>
      </w:pPr>
      <w:r>
        <w:rPr>
          <w:rFonts w:hint="eastAsia" w:ascii="方正楷体简体" w:hAnsi="方正楷体简体" w:eastAsia="方正楷体简体" w:cs="方正楷体简体"/>
          <w:b/>
          <w:bCs/>
          <w:color w:val="auto"/>
          <w:sz w:val="32"/>
          <w:szCs w:val="32"/>
        </w:rPr>
        <w:t>（一）评价结论</w:t>
      </w:r>
    </w:p>
    <w:p>
      <w:pPr>
        <w:snapToGrid w:val="0"/>
        <w:spacing w:line="540" w:lineRule="exact"/>
        <w:ind w:firstLine="643" w:firstLineChars="200"/>
        <w:rPr>
          <w:rFonts w:eastAsia="方正仿宋简体"/>
          <w:b/>
          <w:bCs/>
          <w:color w:val="auto"/>
          <w:sz w:val="32"/>
          <w:szCs w:val="32"/>
        </w:rPr>
      </w:pPr>
      <w:r>
        <w:rPr>
          <w:rFonts w:eastAsia="方正仿宋简体"/>
          <w:b/>
          <w:bCs/>
          <w:color w:val="auto"/>
          <w:sz w:val="32"/>
          <w:szCs w:val="32"/>
        </w:rPr>
        <w:t>办公厅不断改进财务管理，优化部门支出结构，加快预算执行进度，充分发挥资金使用效益。各项专项经费的使用是以达到财政资金使用效益最大化为前提，以实现专项项目年初预算绩效目标为目的。根据部门自评，办公厅资金使用达到了预期效果，较好</w:t>
      </w:r>
      <w:r>
        <w:rPr>
          <w:rFonts w:hint="eastAsia" w:eastAsia="方正仿宋简体"/>
          <w:b/>
          <w:bCs/>
          <w:color w:val="auto"/>
          <w:sz w:val="32"/>
          <w:szCs w:val="32"/>
          <w:lang w:eastAsia="zh-CN"/>
        </w:rPr>
        <w:t>地完成</w:t>
      </w:r>
      <w:r>
        <w:rPr>
          <w:rFonts w:eastAsia="方正仿宋简体"/>
          <w:b/>
          <w:bCs/>
          <w:color w:val="auto"/>
          <w:sz w:val="32"/>
          <w:szCs w:val="32"/>
        </w:rPr>
        <w:t>了省人大常委会年度立法工作、监督工作、调研工作、代表工作等重要任务，实现了2020财政预算支出的绩效目标。</w:t>
      </w:r>
    </w:p>
    <w:p>
      <w:pPr>
        <w:snapToGrid w:val="0"/>
        <w:spacing w:line="540" w:lineRule="exact"/>
        <w:ind w:firstLine="643" w:firstLineChars="200"/>
        <w:rPr>
          <w:rFonts w:eastAsia="方正仿宋简体"/>
          <w:b/>
          <w:bCs/>
          <w:color w:val="auto"/>
          <w:sz w:val="32"/>
          <w:szCs w:val="32"/>
        </w:rPr>
      </w:pPr>
      <w:r>
        <w:rPr>
          <w:rFonts w:eastAsia="方正仿宋简体"/>
          <w:b/>
          <w:bCs/>
          <w:color w:val="auto"/>
          <w:sz w:val="32"/>
          <w:szCs w:val="32"/>
        </w:rPr>
        <w:t>综上</w:t>
      </w:r>
      <w:r>
        <w:rPr>
          <w:rFonts w:hint="eastAsia" w:eastAsia="方正仿宋简体"/>
          <w:b/>
          <w:bCs/>
          <w:color w:val="auto"/>
          <w:sz w:val="32"/>
          <w:szCs w:val="32"/>
          <w:lang w:eastAsia="zh-CN"/>
        </w:rPr>
        <w:t>，</w:t>
      </w:r>
      <w:r>
        <w:rPr>
          <w:rFonts w:eastAsia="方正仿宋简体"/>
          <w:b/>
          <w:bCs/>
          <w:color w:val="auto"/>
          <w:sz w:val="32"/>
          <w:szCs w:val="32"/>
        </w:rPr>
        <w:t>办公厅2020年度部门整体支出绩效评价得分83.36分。</w:t>
      </w:r>
    </w:p>
    <w:p>
      <w:pPr>
        <w:pStyle w:val="2"/>
        <w:pageBreakBefore w:val="0"/>
        <w:widowControl w:val="0"/>
        <w:kinsoku/>
        <w:wordWrap/>
        <w:overflowPunct/>
        <w:topLinePunct w:val="0"/>
        <w:autoSpaceDE/>
        <w:autoSpaceDN/>
        <w:bidi w:val="0"/>
        <w:adjustRightInd w:val="0"/>
        <w:snapToGrid w:val="0"/>
        <w:spacing w:beforeLines="0" w:line="560" w:lineRule="exact"/>
        <w:ind w:firstLine="643" w:firstLineChars="200"/>
        <w:jc w:val="both"/>
        <w:textAlignment w:val="auto"/>
        <w:outlineLvl w:val="2"/>
        <w:rPr>
          <w:rFonts w:hint="eastAsia" w:ascii="方正楷体简体" w:hAnsi="方正楷体简体" w:eastAsia="方正楷体简体" w:cs="方正楷体简体"/>
          <w:b/>
          <w:bCs/>
          <w:color w:val="auto"/>
          <w:sz w:val="32"/>
          <w:szCs w:val="32"/>
        </w:rPr>
      </w:pPr>
      <w:r>
        <w:rPr>
          <w:rFonts w:hint="eastAsia" w:ascii="方正楷体简体" w:hAnsi="方正楷体简体" w:eastAsia="方正楷体简体" w:cs="方正楷体简体"/>
          <w:b/>
          <w:bCs/>
          <w:color w:val="auto"/>
          <w:sz w:val="32"/>
          <w:szCs w:val="32"/>
        </w:rPr>
        <w:t>（二）存在问题</w:t>
      </w:r>
    </w:p>
    <w:p>
      <w:pPr>
        <w:snapToGrid w:val="0"/>
        <w:spacing w:line="540" w:lineRule="exact"/>
        <w:ind w:firstLine="643" w:firstLineChars="200"/>
        <w:rPr>
          <w:rFonts w:eastAsia="方正仿宋简体"/>
          <w:b/>
          <w:bCs/>
          <w:color w:val="auto"/>
          <w:sz w:val="32"/>
          <w:szCs w:val="32"/>
        </w:rPr>
      </w:pPr>
      <w:r>
        <w:rPr>
          <w:rFonts w:eastAsia="方正仿宋简体"/>
          <w:b/>
          <w:bCs/>
          <w:color w:val="auto"/>
          <w:sz w:val="32"/>
          <w:szCs w:val="32"/>
        </w:rPr>
        <w:t>绩效管理理念有待进一步增强。经过多年推进，各部门对绩效的理念有了一定的了解，但长期以来形成的“重安排，轻使用；重争取，轻管理”的思想短期难以改变，“重产出、重结果”的绩效管理理念尚未完全深入人心。</w:t>
      </w:r>
    </w:p>
    <w:p>
      <w:pPr>
        <w:snapToGrid w:val="0"/>
        <w:spacing w:line="540" w:lineRule="exact"/>
        <w:ind w:firstLine="643" w:firstLineChars="200"/>
        <w:rPr>
          <w:rFonts w:eastAsia="方正仿宋简体"/>
          <w:b/>
          <w:bCs/>
          <w:color w:val="auto"/>
          <w:sz w:val="32"/>
          <w:szCs w:val="32"/>
        </w:rPr>
      </w:pPr>
      <w:r>
        <w:rPr>
          <w:rFonts w:eastAsia="方正仿宋简体"/>
          <w:b/>
          <w:bCs/>
          <w:color w:val="auto"/>
          <w:sz w:val="32"/>
          <w:szCs w:val="32"/>
        </w:rPr>
        <w:t>预算绩效管理模式还需进一步完善。预算编制过程中的绩效目标确定、预算执行过程中的绩效监控、绩效评价结果的应用和问责等规范的预算绩效管理模式还在探索阶段，尚未建立具体的预算支出绩效管理措施和办法。</w:t>
      </w:r>
    </w:p>
    <w:p>
      <w:pPr>
        <w:pStyle w:val="2"/>
        <w:pageBreakBefore w:val="0"/>
        <w:widowControl w:val="0"/>
        <w:kinsoku/>
        <w:wordWrap/>
        <w:overflowPunct/>
        <w:topLinePunct w:val="0"/>
        <w:autoSpaceDE/>
        <w:autoSpaceDN/>
        <w:bidi w:val="0"/>
        <w:adjustRightInd w:val="0"/>
        <w:snapToGrid w:val="0"/>
        <w:spacing w:beforeLines="0" w:line="560" w:lineRule="exact"/>
        <w:ind w:firstLine="643" w:firstLineChars="200"/>
        <w:jc w:val="both"/>
        <w:textAlignment w:val="auto"/>
        <w:outlineLvl w:val="2"/>
        <w:rPr>
          <w:rFonts w:hint="eastAsia" w:ascii="方正楷体简体" w:hAnsi="方正楷体简体" w:eastAsia="方正楷体简体" w:cs="方正楷体简体"/>
          <w:b/>
          <w:bCs/>
          <w:color w:val="auto"/>
          <w:sz w:val="32"/>
          <w:szCs w:val="32"/>
        </w:rPr>
      </w:pPr>
      <w:r>
        <w:rPr>
          <w:rFonts w:hint="eastAsia" w:ascii="方正楷体简体" w:hAnsi="方正楷体简体" w:eastAsia="方正楷体简体" w:cs="方正楷体简体"/>
          <w:b/>
          <w:bCs/>
          <w:color w:val="auto"/>
          <w:sz w:val="32"/>
          <w:szCs w:val="32"/>
        </w:rPr>
        <w:t>（三）改进建议</w:t>
      </w:r>
    </w:p>
    <w:p>
      <w:pPr>
        <w:snapToGrid w:val="0"/>
        <w:spacing w:line="540" w:lineRule="exact"/>
        <w:ind w:firstLine="643" w:firstLineChars="200"/>
        <w:rPr>
          <w:rFonts w:eastAsia="方正仿宋简体"/>
          <w:b/>
          <w:bCs/>
          <w:color w:val="auto"/>
          <w:sz w:val="32"/>
          <w:szCs w:val="32"/>
        </w:rPr>
      </w:pPr>
      <w:r>
        <w:rPr>
          <w:rFonts w:eastAsia="方正仿宋简体"/>
          <w:b/>
          <w:bCs/>
          <w:color w:val="auto"/>
          <w:sz w:val="32"/>
          <w:szCs w:val="32"/>
        </w:rPr>
        <w:t>加大宣传力度，强化绩效理念。通过各种渠道，加大绩效管理理念的宣传力度，不断提高各部门的绩效意识，让各部门参与并支持绩效管理工作，进一步细化预算绩效目标，强化预算绩效评价结果</w:t>
      </w:r>
      <w:r>
        <w:rPr>
          <w:rFonts w:hint="eastAsia" w:eastAsia="方正仿宋简体"/>
          <w:b/>
          <w:bCs/>
          <w:color w:val="auto"/>
          <w:sz w:val="32"/>
          <w:szCs w:val="32"/>
          <w:lang w:eastAsia="zh-CN"/>
        </w:rPr>
        <w:t>运用</w:t>
      </w:r>
      <w:r>
        <w:rPr>
          <w:rFonts w:eastAsia="方正仿宋简体"/>
          <w:b/>
          <w:bCs/>
          <w:color w:val="auto"/>
          <w:sz w:val="32"/>
          <w:szCs w:val="32"/>
        </w:rPr>
        <w:t>。</w:t>
      </w:r>
    </w:p>
    <w:p>
      <w:pPr>
        <w:snapToGrid w:val="0"/>
        <w:spacing w:line="540" w:lineRule="exact"/>
        <w:ind w:firstLine="643" w:firstLineChars="200"/>
        <w:rPr>
          <w:rFonts w:eastAsia="方正仿宋简体"/>
          <w:b/>
          <w:bCs/>
          <w:color w:val="auto"/>
          <w:sz w:val="32"/>
          <w:szCs w:val="32"/>
        </w:rPr>
      </w:pPr>
      <w:r>
        <w:rPr>
          <w:rFonts w:eastAsia="方正仿宋简体"/>
          <w:b/>
          <w:bCs/>
          <w:color w:val="auto"/>
          <w:sz w:val="32"/>
          <w:szCs w:val="32"/>
        </w:rPr>
        <w:t>规范预算绩效管理，细化绩效管理措施。办公厅将严格按照省财政对预算支出绩效管理的相关要求，根据工作实际，加快制定预算支出绩效管理具体措施，规范部门预算绩效管理。</w:t>
      </w:r>
    </w:p>
    <w:p>
      <w:pPr>
        <w:snapToGrid w:val="0"/>
        <w:spacing w:line="540" w:lineRule="exact"/>
        <w:ind w:firstLine="643" w:firstLineChars="200"/>
        <w:rPr>
          <w:rFonts w:eastAsia="仿宋"/>
          <w:b/>
          <w:bCs/>
          <w:color w:val="auto"/>
          <w:sz w:val="32"/>
          <w:szCs w:val="32"/>
        </w:rPr>
      </w:pPr>
    </w:p>
    <w:p>
      <w:pPr>
        <w:spacing w:line="600" w:lineRule="exact"/>
        <w:jc w:val="left"/>
        <w:outlineLvl w:val="0"/>
        <w:rPr>
          <w:rFonts w:eastAsia="黑体"/>
          <w:b/>
          <w:bCs/>
          <w:color w:val="auto"/>
          <w:sz w:val="32"/>
          <w:szCs w:val="32"/>
        </w:rPr>
      </w:pPr>
    </w:p>
    <w:p>
      <w:pPr>
        <w:spacing w:line="600" w:lineRule="exact"/>
        <w:jc w:val="left"/>
        <w:outlineLvl w:val="0"/>
        <w:rPr>
          <w:rFonts w:eastAsia="方正小标宋简体"/>
          <w:b/>
          <w:bCs/>
          <w:color w:val="auto"/>
          <w:sz w:val="44"/>
          <w:szCs w:val="44"/>
        </w:rPr>
      </w:pPr>
      <w:r>
        <w:rPr>
          <w:rFonts w:eastAsia="黑体"/>
          <w:b/>
          <w:bCs/>
          <w:color w:val="auto"/>
          <w:sz w:val="32"/>
          <w:szCs w:val="32"/>
        </w:rPr>
        <w:t>附件2</w:t>
      </w:r>
    </w:p>
    <w:p>
      <w:pPr>
        <w:spacing w:line="600" w:lineRule="exact"/>
        <w:ind w:left="315" w:leftChars="150"/>
        <w:jc w:val="center"/>
        <w:outlineLvl w:val="0"/>
        <w:rPr>
          <w:rFonts w:hint="eastAsia" w:ascii="方正小标宋简体" w:hAnsi="方正小标宋简体" w:eastAsia="方正小标宋简体" w:cs="方正小标宋简体"/>
          <w:b/>
          <w:bCs/>
          <w:color w:val="auto"/>
          <w:sz w:val="44"/>
          <w:szCs w:val="44"/>
        </w:rPr>
      </w:pPr>
      <w:r>
        <w:rPr>
          <w:rFonts w:hint="eastAsia" w:ascii="方正小标宋简体" w:hAnsi="方正小标宋简体" w:eastAsia="方正小标宋简体" w:cs="方正小标宋简体"/>
          <w:b/>
          <w:bCs/>
          <w:color w:val="auto"/>
          <w:sz w:val="44"/>
          <w:szCs w:val="44"/>
        </w:rPr>
        <w:t>2020年部门预算项目支出绩效自评报告</w:t>
      </w:r>
    </w:p>
    <w:p>
      <w:pPr>
        <w:keepNext w:val="0"/>
        <w:keepLines w:val="0"/>
        <w:pageBreakBefore w:val="0"/>
        <w:tabs>
          <w:tab w:val="left" w:pos="3885"/>
        </w:tabs>
        <w:kinsoku/>
        <w:wordWrap/>
        <w:overflowPunct/>
        <w:topLinePunct w:val="0"/>
        <w:autoSpaceDE/>
        <w:autoSpaceDN/>
        <w:bidi w:val="0"/>
        <w:snapToGrid w:val="0"/>
        <w:spacing w:line="560" w:lineRule="exact"/>
        <w:jc w:val="center"/>
        <w:textAlignment w:val="auto"/>
        <w:rPr>
          <w:rFonts w:eastAsia="方正楷体简体"/>
          <w:b/>
          <w:bCs/>
          <w:color w:val="auto"/>
          <w:sz w:val="32"/>
          <w:szCs w:val="32"/>
        </w:rPr>
      </w:pPr>
      <w:r>
        <w:rPr>
          <w:rFonts w:eastAsia="方正楷体简体"/>
          <w:b/>
          <w:bCs/>
          <w:color w:val="auto"/>
          <w:sz w:val="32"/>
          <w:szCs w:val="32"/>
        </w:rPr>
        <w:t>（信息化建设及运行维护经费项目）</w:t>
      </w:r>
    </w:p>
    <w:p>
      <w:pPr>
        <w:keepNext w:val="0"/>
        <w:keepLines w:val="0"/>
        <w:pageBreakBefore w:val="0"/>
        <w:tabs>
          <w:tab w:val="left" w:pos="3885"/>
        </w:tabs>
        <w:kinsoku/>
        <w:wordWrap/>
        <w:overflowPunct/>
        <w:topLinePunct w:val="0"/>
        <w:autoSpaceDE/>
        <w:autoSpaceDN/>
        <w:bidi w:val="0"/>
        <w:adjustRightInd w:val="0"/>
        <w:snapToGrid w:val="0"/>
        <w:spacing w:line="560" w:lineRule="exact"/>
        <w:ind w:firstLine="643" w:firstLineChars="200"/>
        <w:jc w:val="left"/>
        <w:textAlignment w:val="auto"/>
        <w:outlineLvl w:val="1"/>
        <w:rPr>
          <w:rFonts w:eastAsia="方正黑体简体"/>
          <w:b/>
          <w:bCs/>
          <w:color w:val="auto"/>
          <w:sz w:val="32"/>
          <w:szCs w:val="32"/>
        </w:rPr>
      </w:pPr>
      <w:r>
        <w:rPr>
          <w:rFonts w:eastAsia="方正黑体简体"/>
          <w:b/>
          <w:bCs/>
          <w:color w:val="auto"/>
          <w:sz w:val="32"/>
          <w:szCs w:val="32"/>
        </w:rPr>
        <w:t>一、基本情况</w:t>
      </w:r>
    </w:p>
    <w:p>
      <w:pPr>
        <w:keepNext w:val="0"/>
        <w:keepLines w:val="0"/>
        <w:pageBreakBefore w:val="0"/>
        <w:kinsoku/>
        <w:wordWrap/>
        <w:overflowPunct/>
        <w:topLinePunct w:val="0"/>
        <w:autoSpaceDE/>
        <w:autoSpaceDN/>
        <w:bidi w:val="0"/>
        <w:snapToGrid w:val="0"/>
        <w:spacing w:line="560" w:lineRule="exact"/>
        <w:ind w:firstLine="643" w:firstLineChars="200"/>
        <w:textAlignment w:val="auto"/>
        <w:rPr>
          <w:rFonts w:eastAsia="方正楷体简体"/>
          <w:b/>
          <w:bCs/>
          <w:color w:val="auto"/>
          <w:sz w:val="32"/>
          <w:szCs w:val="32"/>
        </w:rPr>
      </w:pPr>
      <w:r>
        <w:rPr>
          <w:rFonts w:eastAsia="方正楷体简体"/>
          <w:b/>
          <w:bCs/>
          <w:color w:val="auto"/>
          <w:sz w:val="32"/>
          <w:szCs w:val="32"/>
        </w:rPr>
        <w:t>（一）项目概况</w:t>
      </w:r>
    </w:p>
    <w:p>
      <w:pPr>
        <w:keepNext w:val="0"/>
        <w:keepLines w:val="0"/>
        <w:pageBreakBefore w:val="0"/>
        <w:kinsoku/>
        <w:wordWrap/>
        <w:overflowPunct/>
        <w:topLinePunct w:val="0"/>
        <w:autoSpaceDE/>
        <w:autoSpaceDN/>
        <w:bidi w:val="0"/>
        <w:spacing w:line="560" w:lineRule="exact"/>
        <w:ind w:firstLine="643" w:firstLineChars="200"/>
        <w:textAlignment w:val="auto"/>
        <w:rPr>
          <w:rFonts w:eastAsia="方正仿宋简体"/>
          <w:b/>
          <w:bCs/>
          <w:color w:val="auto"/>
          <w:sz w:val="32"/>
          <w:szCs w:val="32"/>
        </w:rPr>
      </w:pPr>
      <w:r>
        <w:rPr>
          <w:rFonts w:eastAsia="方正仿宋简体"/>
          <w:b/>
          <w:bCs/>
          <w:color w:val="auto"/>
          <w:sz w:val="32"/>
          <w:szCs w:val="32"/>
        </w:rPr>
        <w:t>信息化建设及运行维护项目主要包括：机关会议系统运维及会议保障服务、机关计算机机房网络及电脑终端运维服务、机关会议速录和简报编辑系统技术和会议保障服务、机关会议文件数字化系统保障服务和机关移动办公运行维护服务等内容。</w:t>
      </w:r>
    </w:p>
    <w:p>
      <w:pPr>
        <w:keepNext w:val="0"/>
        <w:keepLines w:val="0"/>
        <w:pageBreakBefore w:val="0"/>
        <w:kinsoku/>
        <w:wordWrap/>
        <w:overflowPunct/>
        <w:topLinePunct w:val="0"/>
        <w:autoSpaceDE/>
        <w:autoSpaceDN/>
        <w:bidi w:val="0"/>
        <w:snapToGrid w:val="0"/>
        <w:spacing w:line="560" w:lineRule="exact"/>
        <w:ind w:firstLine="643" w:firstLineChars="200"/>
        <w:textAlignment w:val="auto"/>
        <w:rPr>
          <w:rFonts w:eastAsia="方正仿宋简体"/>
          <w:b/>
          <w:bCs/>
          <w:color w:val="auto"/>
        </w:rPr>
      </w:pPr>
      <w:r>
        <w:rPr>
          <w:rFonts w:eastAsia="方正楷体简体"/>
          <w:b/>
          <w:bCs/>
          <w:color w:val="auto"/>
          <w:sz w:val="32"/>
          <w:szCs w:val="32"/>
        </w:rPr>
        <w:t>（二）项目实施情况</w:t>
      </w:r>
    </w:p>
    <w:p>
      <w:pPr>
        <w:keepNext w:val="0"/>
        <w:keepLines w:val="0"/>
        <w:pageBreakBefore w:val="0"/>
        <w:kinsoku/>
        <w:wordWrap/>
        <w:overflowPunct/>
        <w:topLinePunct w:val="0"/>
        <w:autoSpaceDE/>
        <w:autoSpaceDN/>
        <w:bidi w:val="0"/>
        <w:spacing w:line="560" w:lineRule="exact"/>
        <w:ind w:firstLine="643" w:firstLineChars="200"/>
        <w:textAlignment w:val="auto"/>
        <w:rPr>
          <w:rFonts w:eastAsia="方正仿宋简体"/>
          <w:b/>
          <w:bCs/>
          <w:color w:val="auto"/>
          <w:sz w:val="32"/>
          <w:szCs w:val="32"/>
        </w:rPr>
      </w:pPr>
      <w:r>
        <w:rPr>
          <w:rFonts w:hint="eastAsia" w:eastAsia="方正仿宋简体"/>
          <w:b/>
          <w:bCs/>
          <w:color w:val="auto"/>
          <w:sz w:val="32"/>
          <w:szCs w:val="32"/>
          <w:lang w:val="en-US" w:eastAsia="zh-CN"/>
        </w:rPr>
        <w:t>2020</w:t>
      </w:r>
      <w:r>
        <w:rPr>
          <w:rFonts w:eastAsia="方正仿宋简体"/>
          <w:b/>
          <w:bCs/>
          <w:color w:val="auto"/>
          <w:sz w:val="32"/>
          <w:szCs w:val="32"/>
        </w:rPr>
        <w:t>年，省人大常委会机关初步采用服务外包方式，将机关会议系统运维及会议保障服务和机关计算机机房网络及电脑终端运维服务委托第三方专业公司承担，逐步建立起机关信息化运行维护基础流程和制度规范，办公区域的桌面信息化设备、网络设备、服务器设备、机房设备和业务应用系统得到有效维护和保养，逐步形成完善的信息化运行维护管理体系。</w:t>
      </w:r>
    </w:p>
    <w:p>
      <w:pPr>
        <w:keepNext w:val="0"/>
        <w:keepLines w:val="0"/>
        <w:pageBreakBefore w:val="0"/>
        <w:kinsoku/>
        <w:wordWrap/>
        <w:overflowPunct/>
        <w:topLinePunct w:val="0"/>
        <w:autoSpaceDE/>
        <w:autoSpaceDN/>
        <w:bidi w:val="0"/>
        <w:snapToGrid w:val="0"/>
        <w:spacing w:line="560" w:lineRule="exact"/>
        <w:ind w:firstLine="643" w:firstLineChars="200"/>
        <w:textAlignment w:val="auto"/>
        <w:outlineLvl w:val="2"/>
        <w:rPr>
          <w:rFonts w:eastAsia="方正楷体简体"/>
          <w:b/>
          <w:bCs/>
          <w:color w:val="auto"/>
          <w:sz w:val="32"/>
          <w:szCs w:val="32"/>
        </w:rPr>
      </w:pPr>
      <w:r>
        <w:rPr>
          <w:rFonts w:eastAsia="方正楷体简体"/>
          <w:b/>
          <w:bCs/>
          <w:color w:val="auto"/>
          <w:sz w:val="32"/>
          <w:szCs w:val="32"/>
        </w:rPr>
        <w:t>（三）资金投入使用情况</w:t>
      </w:r>
    </w:p>
    <w:p>
      <w:pPr>
        <w:keepNext w:val="0"/>
        <w:keepLines w:val="0"/>
        <w:pageBreakBefore w:val="0"/>
        <w:kinsoku/>
        <w:wordWrap/>
        <w:overflowPunct/>
        <w:topLinePunct w:val="0"/>
        <w:autoSpaceDE/>
        <w:autoSpaceDN/>
        <w:bidi w:val="0"/>
        <w:snapToGrid w:val="0"/>
        <w:spacing w:line="560" w:lineRule="exact"/>
        <w:ind w:firstLine="643" w:firstLineChars="200"/>
        <w:textAlignment w:val="auto"/>
        <w:rPr>
          <w:rFonts w:eastAsia="方正仿宋简体"/>
          <w:b/>
          <w:bCs/>
          <w:color w:val="auto"/>
          <w:sz w:val="32"/>
          <w:szCs w:val="32"/>
        </w:rPr>
      </w:pPr>
      <w:r>
        <w:rPr>
          <w:rFonts w:eastAsia="方正仿宋简体"/>
          <w:b/>
          <w:bCs/>
          <w:color w:val="auto"/>
          <w:sz w:val="32"/>
          <w:szCs w:val="32"/>
        </w:rPr>
        <w:t>项目总体投入为320.7万元，实际支出320.7万元。</w:t>
      </w:r>
    </w:p>
    <w:p>
      <w:pPr>
        <w:keepNext w:val="0"/>
        <w:keepLines w:val="0"/>
        <w:pageBreakBefore w:val="0"/>
        <w:kinsoku/>
        <w:wordWrap/>
        <w:overflowPunct/>
        <w:topLinePunct w:val="0"/>
        <w:autoSpaceDE/>
        <w:autoSpaceDN/>
        <w:bidi w:val="0"/>
        <w:snapToGrid w:val="0"/>
        <w:spacing w:line="560" w:lineRule="exact"/>
        <w:ind w:firstLine="643" w:firstLineChars="200"/>
        <w:textAlignment w:val="auto"/>
        <w:outlineLvl w:val="2"/>
        <w:rPr>
          <w:rFonts w:eastAsia="方正楷体简体"/>
          <w:b/>
          <w:bCs/>
          <w:color w:val="auto"/>
          <w:sz w:val="32"/>
          <w:szCs w:val="32"/>
        </w:rPr>
      </w:pPr>
      <w:r>
        <w:rPr>
          <w:rFonts w:eastAsia="方正楷体简体"/>
          <w:b/>
          <w:bCs/>
          <w:color w:val="auto"/>
          <w:sz w:val="32"/>
          <w:szCs w:val="32"/>
        </w:rPr>
        <w:t>（</w:t>
      </w:r>
      <w:r>
        <w:rPr>
          <w:rFonts w:hint="eastAsia" w:eastAsia="方正楷体简体"/>
          <w:b/>
          <w:bCs/>
          <w:color w:val="auto"/>
          <w:sz w:val="32"/>
          <w:szCs w:val="32"/>
          <w:lang w:eastAsia="zh-CN"/>
        </w:rPr>
        <w:t>四</w:t>
      </w:r>
      <w:r>
        <w:rPr>
          <w:rFonts w:eastAsia="方正楷体简体"/>
          <w:b/>
          <w:bCs/>
          <w:color w:val="auto"/>
          <w:sz w:val="32"/>
          <w:szCs w:val="32"/>
        </w:rPr>
        <w:t>）项目绩效目标</w:t>
      </w:r>
    </w:p>
    <w:p>
      <w:pPr>
        <w:keepNext w:val="0"/>
        <w:keepLines w:val="0"/>
        <w:pageBreakBefore w:val="0"/>
        <w:kinsoku/>
        <w:wordWrap/>
        <w:overflowPunct/>
        <w:topLinePunct w:val="0"/>
        <w:autoSpaceDE/>
        <w:autoSpaceDN/>
        <w:bidi w:val="0"/>
        <w:snapToGrid w:val="0"/>
        <w:spacing w:line="560" w:lineRule="exact"/>
        <w:ind w:firstLine="643" w:firstLineChars="200"/>
        <w:textAlignment w:val="auto"/>
        <w:rPr>
          <w:rFonts w:eastAsia="方正仿宋简体"/>
          <w:b/>
          <w:bCs/>
          <w:color w:val="auto"/>
          <w:sz w:val="32"/>
          <w:szCs w:val="32"/>
        </w:rPr>
      </w:pPr>
      <w:r>
        <w:rPr>
          <w:rFonts w:eastAsia="方正仿宋简体"/>
          <w:b/>
          <w:bCs/>
          <w:color w:val="auto"/>
          <w:sz w:val="32"/>
          <w:szCs w:val="32"/>
        </w:rPr>
        <w:t>办公厅信息中心在省人大网络安全和信息化领导小组及其办公室的领导下开展信息化运维和服务保障工作，始终把“确保省人大机关信息网络及设备安全、稳定、高效运行、数据保密、推行无纸化办公，实现科学化管控”的总体要求作为绩效考核目标，坚持花小钱办大事、厉行节约的原则，把机关信息系统运维服务工作作为常态化的重点工作来抓，确保机关简报系统、文件数字化系统和移动办公系统等业务应用系统和基础环境、硬件设施、会议系统正常可靠运行，保障人大“三会”（代表大会、常委会</w:t>
      </w:r>
      <w:r>
        <w:rPr>
          <w:rFonts w:hint="eastAsia" w:eastAsia="方正仿宋简体"/>
          <w:b/>
          <w:bCs/>
          <w:color w:val="auto"/>
          <w:sz w:val="32"/>
          <w:szCs w:val="32"/>
          <w:lang w:eastAsia="zh-CN"/>
        </w:rPr>
        <w:t>会议</w:t>
      </w:r>
      <w:r>
        <w:rPr>
          <w:rFonts w:eastAsia="方正仿宋简体"/>
          <w:b/>
          <w:bCs/>
          <w:color w:val="auto"/>
          <w:sz w:val="32"/>
          <w:szCs w:val="32"/>
        </w:rPr>
        <w:t>、主任会议）、主任学习会等会议服务质量，全面提升信息化建设和服务的总体效能，使信息系统真正发挥实效，不断提高业务管理水平，更好</w:t>
      </w:r>
      <w:r>
        <w:rPr>
          <w:rFonts w:hint="eastAsia" w:eastAsia="方正仿宋简体"/>
          <w:b/>
          <w:bCs/>
          <w:color w:val="auto"/>
          <w:sz w:val="32"/>
          <w:szCs w:val="32"/>
          <w:lang w:eastAsia="zh-CN"/>
        </w:rPr>
        <w:t>地</w:t>
      </w:r>
      <w:r>
        <w:rPr>
          <w:rFonts w:eastAsia="方正仿宋简体"/>
          <w:b/>
          <w:bCs/>
          <w:color w:val="auto"/>
          <w:sz w:val="32"/>
          <w:szCs w:val="32"/>
        </w:rPr>
        <w:t>推进机关信息化建设。</w:t>
      </w:r>
    </w:p>
    <w:p>
      <w:pPr>
        <w:keepNext w:val="0"/>
        <w:keepLines w:val="0"/>
        <w:pageBreakBefore w:val="0"/>
        <w:tabs>
          <w:tab w:val="left" w:pos="3885"/>
        </w:tabs>
        <w:kinsoku/>
        <w:wordWrap/>
        <w:overflowPunct/>
        <w:topLinePunct w:val="0"/>
        <w:autoSpaceDE/>
        <w:autoSpaceDN/>
        <w:bidi w:val="0"/>
        <w:adjustRightInd w:val="0"/>
        <w:snapToGrid w:val="0"/>
        <w:spacing w:line="560" w:lineRule="exact"/>
        <w:ind w:firstLine="643" w:firstLineChars="200"/>
        <w:jc w:val="left"/>
        <w:textAlignment w:val="auto"/>
        <w:outlineLvl w:val="1"/>
        <w:rPr>
          <w:rFonts w:eastAsia="方正黑体简体"/>
          <w:b/>
          <w:bCs/>
          <w:color w:val="auto"/>
          <w:sz w:val="32"/>
          <w:szCs w:val="32"/>
        </w:rPr>
      </w:pPr>
      <w:r>
        <w:rPr>
          <w:rFonts w:eastAsia="方正黑体简体"/>
          <w:b/>
          <w:bCs/>
          <w:color w:val="auto"/>
          <w:sz w:val="32"/>
          <w:szCs w:val="32"/>
        </w:rPr>
        <w:t>二、评价工作开展情况</w:t>
      </w:r>
    </w:p>
    <w:p>
      <w:pPr>
        <w:keepNext w:val="0"/>
        <w:keepLines w:val="0"/>
        <w:pageBreakBefore w:val="0"/>
        <w:kinsoku/>
        <w:wordWrap/>
        <w:overflowPunct/>
        <w:topLinePunct w:val="0"/>
        <w:autoSpaceDE/>
        <w:autoSpaceDN/>
        <w:bidi w:val="0"/>
        <w:spacing w:line="560" w:lineRule="exact"/>
        <w:ind w:firstLine="643" w:firstLineChars="200"/>
        <w:textAlignment w:val="auto"/>
        <w:rPr>
          <w:rFonts w:eastAsia="方正仿宋简体"/>
          <w:b/>
          <w:bCs/>
          <w:color w:val="auto"/>
          <w:sz w:val="32"/>
          <w:szCs w:val="32"/>
        </w:rPr>
      </w:pPr>
      <w:r>
        <w:rPr>
          <w:rFonts w:eastAsia="方正仿宋简体"/>
          <w:b/>
          <w:bCs/>
          <w:color w:val="auto"/>
          <w:sz w:val="32"/>
          <w:szCs w:val="32"/>
        </w:rPr>
        <w:t>绩效评价工作由办公厅财务处组织开展，为做好信息系统建设及运行维护项目绩效管理工作，根据相关文件要求，制定方案、明确分工、落实责任，相互配合，提高工作效率，规范和高效地开展2020年预算绩效管理工作。按照项目年初绩效目标情况使用评价指标体系和评价标准，评价方法主要采用比较法和成本效益分析法，将年初绩效目标和项目实际效果进行比较，将项目投入的成本和产出的效益进行配比。评价工作遵循相关性、重要性、系统性和经济性原则，切实将该项目的相关重点工作完成情况纳入评价</w:t>
      </w:r>
      <w:r>
        <w:rPr>
          <w:rFonts w:hint="eastAsia" w:eastAsia="方正仿宋简体"/>
          <w:b/>
          <w:bCs/>
          <w:color w:val="auto"/>
          <w:sz w:val="32"/>
          <w:szCs w:val="32"/>
          <w:lang w:eastAsia="zh-CN"/>
        </w:rPr>
        <w:t>范围</w:t>
      </w:r>
      <w:r>
        <w:rPr>
          <w:rFonts w:eastAsia="方正仿宋简体"/>
          <w:b/>
          <w:bCs/>
          <w:color w:val="auto"/>
          <w:sz w:val="32"/>
          <w:szCs w:val="32"/>
        </w:rPr>
        <w:t>。针对评价指标各项内容，对运维外包服务单位和服务质量进行考核，制定考核办法，对派驻人员的工作情况、服务满意度进行评价，评价等级与合同支付金额挂钩。</w:t>
      </w:r>
    </w:p>
    <w:p>
      <w:pPr>
        <w:keepNext w:val="0"/>
        <w:keepLines w:val="0"/>
        <w:pageBreakBefore w:val="0"/>
        <w:tabs>
          <w:tab w:val="left" w:pos="3885"/>
        </w:tabs>
        <w:kinsoku/>
        <w:wordWrap/>
        <w:overflowPunct/>
        <w:topLinePunct w:val="0"/>
        <w:autoSpaceDE/>
        <w:autoSpaceDN/>
        <w:bidi w:val="0"/>
        <w:adjustRightInd w:val="0"/>
        <w:snapToGrid w:val="0"/>
        <w:spacing w:line="560" w:lineRule="exact"/>
        <w:ind w:firstLine="643" w:firstLineChars="200"/>
        <w:jc w:val="left"/>
        <w:textAlignment w:val="auto"/>
        <w:outlineLvl w:val="1"/>
        <w:rPr>
          <w:rFonts w:eastAsia="方正黑体简体"/>
          <w:b/>
          <w:bCs/>
          <w:color w:val="auto"/>
          <w:sz w:val="32"/>
          <w:szCs w:val="32"/>
        </w:rPr>
      </w:pPr>
      <w:r>
        <w:rPr>
          <w:rFonts w:eastAsia="方正黑体简体"/>
          <w:b/>
          <w:bCs/>
          <w:color w:val="auto"/>
          <w:sz w:val="32"/>
          <w:szCs w:val="32"/>
        </w:rPr>
        <w:t>三、综合评价结论</w:t>
      </w:r>
    </w:p>
    <w:p>
      <w:pPr>
        <w:keepNext w:val="0"/>
        <w:keepLines w:val="0"/>
        <w:pageBreakBefore w:val="0"/>
        <w:kinsoku/>
        <w:wordWrap/>
        <w:overflowPunct/>
        <w:topLinePunct w:val="0"/>
        <w:autoSpaceDE/>
        <w:autoSpaceDN/>
        <w:bidi w:val="0"/>
        <w:spacing w:line="560" w:lineRule="exact"/>
        <w:ind w:firstLine="643" w:firstLineChars="200"/>
        <w:textAlignment w:val="auto"/>
        <w:rPr>
          <w:rFonts w:eastAsia="方正仿宋简体"/>
          <w:b/>
          <w:bCs/>
          <w:color w:val="auto"/>
          <w:sz w:val="32"/>
          <w:szCs w:val="32"/>
        </w:rPr>
      </w:pPr>
      <w:r>
        <w:rPr>
          <w:rFonts w:eastAsia="方正仿宋简体"/>
          <w:b/>
          <w:bCs/>
          <w:color w:val="auto"/>
          <w:sz w:val="32"/>
          <w:szCs w:val="32"/>
        </w:rPr>
        <w:t>根据评价结果，信息化建设及运行维护经费项目预算绩效评价结果为合格，年初设定的项目绩效目标全部完成。</w:t>
      </w:r>
    </w:p>
    <w:p>
      <w:pPr>
        <w:keepNext w:val="0"/>
        <w:keepLines w:val="0"/>
        <w:pageBreakBefore w:val="0"/>
        <w:tabs>
          <w:tab w:val="left" w:pos="3885"/>
        </w:tabs>
        <w:kinsoku/>
        <w:wordWrap/>
        <w:overflowPunct/>
        <w:topLinePunct w:val="0"/>
        <w:autoSpaceDE/>
        <w:autoSpaceDN/>
        <w:bidi w:val="0"/>
        <w:adjustRightInd w:val="0"/>
        <w:snapToGrid w:val="0"/>
        <w:spacing w:line="560" w:lineRule="exact"/>
        <w:ind w:firstLine="643" w:firstLineChars="200"/>
        <w:jc w:val="left"/>
        <w:textAlignment w:val="auto"/>
        <w:outlineLvl w:val="1"/>
        <w:rPr>
          <w:rFonts w:eastAsia="方正黑体简体"/>
          <w:b/>
          <w:bCs/>
          <w:color w:val="auto"/>
          <w:sz w:val="32"/>
          <w:szCs w:val="32"/>
        </w:rPr>
      </w:pPr>
      <w:r>
        <w:rPr>
          <w:rFonts w:eastAsia="方正黑体简体"/>
          <w:b/>
          <w:bCs/>
          <w:color w:val="auto"/>
          <w:sz w:val="32"/>
          <w:szCs w:val="32"/>
        </w:rPr>
        <w:t>四、绩效评价分析</w:t>
      </w:r>
    </w:p>
    <w:p>
      <w:pPr>
        <w:keepNext w:val="0"/>
        <w:keepLines w:val="0"/>
        <w:pageBreakBefore w:val="0"/>
        <w:kinsoku/>
        <w:wordWrap/>
        <w:overflowPunct/>
        <w:topLinePunct w:val="0"/>
        <w:autoSpaceDE/>
        <w:autoSpaceDN/>
        <w:bidi w:val="0"/>
        <w:snapToGrid w:val="0"/>
        <w:spacing w:line="560" w:lineRule="exact"/>
        <w:ind w:firstLine="643" w:firstLineChars="200"/>
        <w:textAlignment w:val="auto"/>
        <w:rPr>
          <w:rFonts w:eastAsia="方正楷体简体"/>
          <w:b/>
          <w:bCs/>
          <w:color w:val="auto"/>
          <w:sz w:val="32"/>
          <w:szCs w:val="32"/>
        </w:rPr>
      </w:pPr>
      <w:r>
        <w:rPr>
          <w:rFonts w:eastAsia="方正楷体简体"/>
          <w:b/>
          <w:bCs/>
          <w:color w:val="auto"/>
          <w:sz w:val="32"/>
          <w:szCs w:val="32"/>
        </w:rPr>
        <w:t>（一）项目决策情况</w:t>
      </w:r>
    </w:p>
    <w:p>
      <w:pPr>
        <w:keepNext w:val="0"/>
        <w:keepLines w:val="0"/>
        <w:pageBreakBefore w:val="0"/>
        <w:kinsoku/>
        <w:wordWrap/>
        <w:overflowPunct/>
        <w:topLinePunct w:val="0"/>
        <w:autoSpaceDE/>
        <w:autoSpaceDN/>
        <w:bidi w:val="0"/>
        <w:snapToGrid w:val="0"/>
        <w:spacing w:line="560" w:lineRule="exact"/>
        <w:ind w:firstLine="643" w:firstLineChars="200"/>
        <w:textAlignment w:val="auto"/>
        <w:rPr>
          <w:rFonts w:eastAsia="方正仿宋简体"/>
          <w:b/>
          <w:bCs/>
          <w:color w:val="auto"/>
          <w:sz w:val="32"/>
          <w:szCs w:val="32"/>
        </w:rPr>
      </w:pPr>
      <w:r>
        <w:rPr>
          <w:rFonts w:eastAsia="方正仿宋简体"/>
          <w:b/>
          <w:bCs/>
          <w:color w:val="auto"/>
          <w:sz w:val="32"/>
          <w:szCs w:val="32"/>
        </w:rPr>
        <w:t>信息</w:t>
      </w:r>
      <w:r>
        <w:rPr>
          <w:rFonts w:hint="eastAsia" w:eastAsia="方正仿宋简体"/>
          <w:b/>
          <w:bCs/>
          <w:color w:val="auto"/>
          <w:sz w:val="32"/>
          <w:szCs w:val="32"/>
          <w:lang w:eastAsia="zh-CN"/>
        </w:rPr>
        <w:t>化</w:t>
      </w:r>
      <w:r>
        <w:rPr>
          <w:rFonts w:eastAsia="方正仿宋简体"/>
          <w:b/>
          <w:bCs/>
          <w:color w:val="auto"/>
          <w:sz w:val="32"/>
          <w:szCs w:val="32"/>
        </w:rPr>
        <w:t>建设及运行维护项目的立项、采购和合同签订，都按照</w:t>
      </w:r>
      <w:r>
        <w:rPr>
          <w:rFonts w:hint="eastAsia" w:eastAsia="方正仿宋简体"/>
          <w:b/>
          <w:bCs/>
          <w:color w:val="auto"/>
          <w:sz w:val="32"/>
          <w:szCs w:val="32"/>
          <w:lang w:eastAsia="zh-CN"/>
        </w:rPr>
        <w:t>办公厅</w:t>
      </w:r>
      <w:r>
        <w:rPr>
          <w:rFonts w:eastAsia="方正仿宋简体"/>
          <w:b/>
          <w:bCs/>
          <w:color w:val="auto"/>
          <w:sz w:val="32"/>
          <w:szCs w:val="32"/>
        </w:rPr>
        <w:t>相关项目管理要求，经过省人大常委会秘书长办公会议研究通过后实施。</w:t>
      </w:r>
    </w:p>
    <w:p>
      <w:pPr>
        <w:keepNext w:val="0"/>
        <w:keepLines w:val="0"/>
        <w:pageBreakBefore w:val="0"/>
        <w:kinsoku/>
        <w:wordWrap/>
        <w:overflowPunct/>
        <w:topLinePunct w:val="0"/>
        <w:autoSpaceDE/>
        <w:autoSpaceDN/>
        <w:bidi w:val="0"/>
        <w:snapToGrid w:val="0"/>
        <w:spacing w:line="560" w:lineRule="exact"/>
        <w:ind w:firstLine="643" w:firstLineChars="200"/>
        <w:textAlignment w:val="auto"/>
        <w:rPr>
          <w:rFonts w:eastAsia="方正楷体简体"/>
          <w:b/>
          <w:bCs/>
          <w:color w:val="auto"/>
          <w:sz w:val="32"/>
          <w:szCs w:val="32"/>
        </w:rPr>
      </w:pPr>
      <w:r>
        <w:rPr>
          <w:rFonts w:eastAsia="方正楷体简体"/>
          <w:b/>
          <w:bCs/>
          <w:color w:val="auto"/>
          <w:sz w:val="32"/>
          <w:szCs w:val="32"/>
        </w:rPr>
        <w:t>（二）项目管理情况</w:t>
      </w:r>
    </w:p>
    <w:p>
      <w:pPr>
        <w:keepNext w:val="0"/>
        <w:keepLines w:val="0"/>
        <w:pageBreakBefore w:val="0"/>
        <w:kinsoku/>
        <w:wordWrap/>
        <w:overflowPunct/>
        <w:topLinePunct w:val="0"/>
        <w:autoSpaceDE/>
        <w:autoSpaceDN/>
        <w:bidi w:val="0"/>
        <w:snapToGrid w:val="0"/>
        <w:spacing w:line="560" w:lineRule="exact"/>
        <w:ind w:firstLine="643" w:firstLineChars="200"/>
        <w:textAlignment w:val="auto"/>
        <w:rPr>
          <w:rFonts w:eastAsia="方正仿宋简体"/>
          <w:b/>
          <w:bCs/>
          <w:color w:val="auto"/>
          <w:sz w:val="32"/>
          <w:szCs w:val="32"/>
        </w:rPr>
      </w:pPr>
      <w:r>
        <w:rPr>
          <w:rFonts w:eastAsia="方正仿宋简体"/>
          <w:b/>
          <w:bCs/>
          <w:color w:val="auto"/>
          <w:sz w:val="32"/>
          <w:szCs w:val="32"/>
        </w:rPr>
        <w:t>项目建设中专门成立项目领导小组，领导小组在省人大网络安全和信息化领导小组的领导下开展工作，小组组长由分管副秘书长担任，领导小组办公室设在办公厅信息中心，涉及</w:t>
      </w:r>
      <w:r>
        <w:rPr>
          <w:rFonts w:hint="eastAsia" w:eastAsia="方正仿宋简体"/>
          <w:b/>
          <w:bCs/>
          <w:color w:val="auto"/>
          <w:sz w:val="32"/>
          <w:szCs w:val="32"/>
          <w:lang w:eastAsia="zh-CN"/>
        </w:rPr>
        <w:t>项目较多的</w:t>
      </w:r>
      <w:r>
        <w:rPr>
          <w:rFonts w:eastAsia="方正仿宋简体"/>
          <w:b/>
          <w:bCs/>
          <w:color w:val="auto"/>
          <w:sz w:val="32"/>
          <w:szCs w:val="32"/>
        </w:rPr>
        <w:t>部门还设立部门信息化联络员。按照机关项目管理办法，</w:t>
      </w:r>
      <w:r>
        <w:rPr>
          <w:rFonts w:hint="eastAsia" w:eastAsia="方正仿宋简体"/>
          <w:b/>
          <w:bCs/>
          <w:color w:val="auto"/>
          <w:sz w:val="32"/>
          <w:szCs w:val="32"/>
          <w:lang w:eastAsia="zh-CN"/>
        </w:rPr>
        <w:t>明确</w:t>
      </w:r>
      <w:r>
        <w:rPr>
          <w:rFonts w:eastAsia="方正仿宋简体"/>
          <w:b/>
          <w:bCs/>
          <w:color w:val="auto"/>
          <w:sz w:val="32"/>
          <w:szCs w:val="32"/>
        </w:rPr>
        <w:t>项目领导小组和办公室分工和职责，落实责任，严格按照项目工作纪律执行。制定项目财务管理办法和档案管理办法，做到项目专款专用，文档管理合理合规。制定信息化联络员管理制度，落实联络员职责。</w:t>
      </w:r>
    </w:p>
    <w:p>
      <w:pPr>
        <w:keepNext w:val="0"/>
        <w:keepLines w:val="0"/>
        <w:pageBreakBefore w:val="0"/>
        <w:kinsoku/>
        <w:wordWrap/>
        <w:overflowPunct/>
        <w:topLinePunct w:val="0"/>
        <w:autoSpaceDE/>
        <w:autoSpaceDN/>
        <w:bidi w:val="0"/>
        <w:snapToGrid w:val="0"/>
        <w:spacing w:line="560" w:lineRule="exact"/>
        <w:ind w:firstLine="643" w:firstLineChars="200"/>
        <w:textAlignment w:val="auto"/>
        <w:rPr>
          <w:rFonts w:eastAsia="方正楷体简体"/>
          <w:b/>
          <w:bCs/>
          <w:color w:val="auto"/>
          <w:sz w:val="32"/>
          <w:szCs w:val="32"/>
        </w:rPr>
      </w:pPr>
      <w:r>
        <w:rPr>
          <w:rFonts w:eastAsia="方正楷体简体"/>
          <w:b/>
          <w:bCs/>
          <w:color w:val="auto"/>
          <w:sz w:val="32"/>
          <w:szCs w:val="32"/>
        </w:rPr>
        <w:t>（三）项目产出情况</w:t>
      </w:r>
    </w:p>
    <w:p>
      <w:pPr>
        <w:keepNext w:val="0"/>
        <w:keepLines w:val="0"/>
        <w:pageBreakBefore w:val="0"/>
        <w:kinsoku/>
        <w:wordWrap/>
        <w:overflowPunct/>
        <w:topLinePunct w:val="0"/>
        <w:autoSpaceDE/>
        <w:autoSpaceDN/>
        <w:bidi w:val="0"/>
        <w:snapToGrid w:val="0"/>
        <w:spacing w:line="560" w:lineRule="exact"/>
        <w:ind w:firstLine="643" w:firstLineChars="200"/>
        <w:textAlignment w:val="auto"/>
        <w:rPr>
          <w:rFonts w:eastAsia="方正仿宋简体"/>
          <w:b/>
          <w:bCs/>
          <w:color w:val="auto"/>
          <w:sz w:val="32"/>
          <w:szCs w:val="32"/>
        </w:rPr>
      </w:pPr>
      <w:r>
        <w:rPr>
          <w:rFonts w:eastAsia="方正仿宋简体"/>
          <w:b/>
          <w:bCs/>
          <w:color w:val="auto"/>
          <w:sz w:val="32"/>
          <w:szCs w:val="32"/>
        </w:rPr>
        <w:t>2020年全年完成26次主任会议、10次常委会会议和60多次机关重大会议活动的技术服务保障工作，有效保证简报速录系统和文件数字化系统稳定可靠运行。全年处理各类电脑故障850台次，为干部职工更换台式电脑、笔记本及其附属设备，安装操作系统等50台次，对机关机房和网络进行了30次巡检等，100%有效保障机关计算机机房、网络和移动办公应用可靠运行，同时通过了应用系统等级保护测评。</w:t>
      </w:r>
    </w:p>
    <w:p>
      <w:pPr>
        <w:keepNext w:val="0"/>
        <w:keepLines w:val="0"/>
        <w:pageBreakBefore w:val="0"/>
        <w:kinsoku/>
        <w:wordWrap/>
        <w:overflowPunct/>
        <w:topLinePunct w:val="0"/>
        <w:autoSpaceDE/>
        <w:autoSpaceDN/>
        <w:bidi w:val="0"/>
        <w:snapToGrid w:val="0"/>
        <w:spacing w:line="560" w:lineRule="exact"/>
        <w:ind w:firstLine="643" w:firstLineChars="200"/>
        <w:textAlignment w:val="auto"/>
        <w:rPr>
          <w:rFonts w:eastAsia="方正楷体简体"/>
          <w:b/>
          <w:bCs/>
          <w:color w:val="auto"/>
          <w:sz w:val="32"/>
          <w:szCs w:val="32"/>
        </w:rPr>
      </w:pPr>
      <w:r>
        <w:rPr>
          <w:rFonts w:eastAsia="方正楷体简体"/>
          <w:b/>
          <w:bCs/>
          <w:color w:val="auto"/>
          <w:sz w:val="32"/>
          <w:szCs w:val="32"/>
        </w:rPr>
        <w:t>（四）项目效益情况</w:t>
      </w:r>
    </w:p>
    <w:p>
      <w:pPr>
        <w:keepNext w:val="0"/>
        <w:keepLines w:val="0"/>
        <w:pageBreakBefore w:val="0"/>
        <w:kinsoku/>
        <w:wordWrap/>
        <w:overflowPunct/>
        <w:topLinePunct w:val="0"/>
        <w:autoSpaceDE/>
        <w:autoSpaceDN/>
        <w:bidi w:val="0"/>
        <w:snapToGrid w:val="0"/>
        <w:spacing w:line="560" w:lineRule="exact"/>
        <w:ind w:firstLine="643" w:firstLineChars="200"/>
        <w:textAlignment w:val="auto"/>
        <w:rPr>
          <w:rFonts w:eastAsia="方正仿宋简体"/>
          <w:b/>
          <w:bCs/>
          <w:color w:val="auto"/>
          <w:sz w:val="32"/>
          <w:szCs w:val="32"/>
        </w:rPr>
      </w:pPr>
      <w:r>
        <w:rPr>
          <w:rFonts w:eastAsia="方正仿宋简体"/>
          <w:b/>
          <w:bCs/>
          <w:color w:val="auto"/>
          <w:sz w:val="32"/>
          <w:szCs w:val="32"/>
        </w:rPr>
        <w:t>项目圆满完成各项任务目标，保证了各个信息系统的正常运转，有效支撑了省人大代表服务、立法监督、人事任免等重要工作，实现了良好的社会效益。同时，会议文件采用数字化传输、阅读，极大减少了纸质文件印刷量，既提高了文件传阅效率，又有良好的经济效益。</w:t>
      </w:r>
    </w:p>
    <w:p>
      <w:pPr>
        <w:keepNext w:val="0"/>
        <w:keepLines w:val="0"/>
        <w:pageBreakBefore w:val="0"/>
        <w:tabs>
          <w:tab w:val="left" w:pos="3885"/>
        </w:tabs>
        <w:kinsoku/>
        <w:wordWrap/>
        <w:overflowPunct/>
        <w:topLinePunct w:val="0"/>
        <w:autoSpaceDE/>
        <w:autoSpaceDN/>
        <w:bidi w:val="0"/>
        <w:adjustRightInd w:val="0"/>
        <w:snapToGrid w:val="0"/>
        <w:spacing w:line="560" w:lineRule="exact"/>
        <w:ind w:firstLine="643" w:firstLineChars="200"/>
        <w:jc w:val="left"/>
        <w:textAlignment w:val="auto"/>
        <w:outlineLvl w:val="1"/>
        <w:rPr>
          <w:rFonts w:eastAsia="方正黑体简体"/>
          <w:b/>
          <w:bCs/>
          <w:color w:val="auto"/>
          <w:sz w:val="32"/>
          <w:szCs w:val="32"/>
        </w:rPr>
      </w:pPr>
      <w:r>
        <w:rPr>
          <w:rFonts w:eastAsia="方正黑体简体"/>
          <w:b/>
          <w:bCs/>
          <w:color w:val="auto"/>
          <w:sz w:val="32"/>
          <w:szCs w:val="32"/>
        </w:rPr>
        <w:t>五、存在</w:t>
      </w:r>
      <w:r>
        <w:rPr>
          <w:rFonts w:hint="eastAsia" w:eastAsia="方正黑体简体"/>
          <w:b/>
          <w:bCs/>
          <w:color w:val="auto"/>
          <w:sz w:val="32"/>
          <w:szCs w:val="32"/>
          <w:lang w:eastAsia="zh-CN"/>
        </w:rPr>
        <w:t>的</w:t>
      </w:r>
      <w:r>
        <w:rPr>
          <w:rFonts w:eastAsia="方正黑体简体"/>
          <w:b/>
          <w:bCs/>
          <w:color w:val="auto"/>
          <w:sz w:val="32"/>
          <w:szCs w:val="32"/>
        </w:rPr>
        <w:t>主要问题</w:t>
      </w:r>
    </w:p>
    <w:p>
      <w:pPr>
        <w:keepNext w:val="0"/>
        <w:keepLines w:val="0"/>
        <w:pageBreakBefore w:val="0"/>
        <w:kinsoku/>
        <w:wordWrap/>
        <w:overflowPunct/>
        <w:topLinePunct w:val="0"/>
        <w:autoSpaceDE/>
        <w:autoSpaceDN/>
        <w:bidi w:val="0"/>
        <w:snapToGrid w:val="0"/>
        <w:spacing w:line="560" w:lineRule="exact"/>
        <w:ind w:firstLine="643" w:firstLineChars="200"/>
        <w:textAlignment w:val="auto"/>
        <w:rPr>
          <w:rFonts w:eastAsia="方正仿宋简体"/>
          <w:b/>
          <w:bCs/>
          <w:color w:val="auto"/>
          <w:sz w:val="32"/>
          <w:szCs w:val="32"/>
        </w:rPr>
      </w:pPr>
      <w:r>
        <w:rPr>
          <w:rFonts w:eastAsia="方正仿宋简体"/>
          <w:b/>
          <w:bCs/>
          <w:color w:val="auto"/>
          <w:sz w:val="32"/>
          <w:szCs w:val="32"/>
        </w:rPr>
        <w:t>机关运维服务虽然工作取得了一些成绩，但通过</w:t>
      </w:r>
      <w:r>
        <w:rPr>
          <w:rFonts w:hint="eastAsia" w:eastAsia="方正仿宋简体"/>
          <w:b/>
          <w:bCs/>
          <w:color w:val="auto"/>
          <w:sz w:val="32"/>
          <w:szCs w:val="32"/>
          <w:lang w:eastAsia="zh-CN"/>
        </w:rPr>
        <w:t>开展</w:t>
      </w:r>
      <w:r>
        <w:rPr>
          <w:rFonts w:eastAsia="方正仿宋简体"/>
          <w:b/>
          <w:bCs/>
          <w:color w:val="auto"/>
          <w:sz w:val="32"/>
          <w:szCs w:val="32"/>
        </w:rPr>
        <w:t>运维服务流程的分析，发现如下问题：</w:t>
      </w:r>
    </w:p>
    <w:p>
      <w:pPr>
        <w:keepNext w:val="0"/>
        <w:keepLines w:val="0"/>
        <w:pageBreakBefore w:val="0"/>
        <w:kinsoku/>
        <w:wordWrap/>
        <w:overflowPunct/>
        <w:topLinePunct w:val="0"/>
        <w:autoSpaceDE/>
        <w:autoSpaceDN/>
        <w:bidi w:val="0"/>
        <w:snapToGrid w:val="0"/>
        <w:spacing w:line="560" w:lineRule="exact"/>
        <w:ind w:firstLine="643" w:firstLineChars="200"/>
        <w:textAlignment w:val="auto"/>
        <w:rPr>
          <w:rFonts w:hint="eastAsia" w:eastAsia="方正仿宋简体"/>
          <w:b/>
          <w:bCs/>
          <w:color w:val="auto"/>
          <w:sz w:val="32"/>
          <w:szCs w:val="32"/>
          <w:lang w:eastAsia="zh-CN"/>
        </w:rPr>
      </w:pPr>
      <w:r>
        <w:rPr>
          <w:rFonts w:eastAsia="方正仿宋简体"/>
          <w:b/>
          <w:bCs/>
          <w:color w:val="auto"/>
          <w:sz w:val="32"/>
          <w:szCs w:val="32"/>
        </w:rPr>
        <w:t>随着机关的信息化基础设施、业务系统逐年增加，机关干部职工运用信息化手段辅助工作的方式越来越多，会议质量要求越来越高，机关运维服务量越来越大，任务越来越复杂，有时候运维服务得不到及时处理；</w:t>
      </w:r>
      <w:r>
        <w:rPr>
          <w:rFonts w:hint="eastAsia" w:eastAsia="方正仿宋简体"/>
          <w:b/>
          <w:bCs/>
          <w:color w:val="auto"/>
          <w:sz w:val="32"/>
          <w:szCs w:val="32"/>
          <w:lang w:eastAsia="zh-CN"/>
        </w:rPr>
        <w:t>信息系统尚未实现有效整合。</w:t>
      </w:r>
    </w:p>
    <w:p>
      <w:pPr>
        <w:keepNext w:val="0"/>
        <w:keepLines w:val="0"/>
        <w:pageBreakBefore w:val="0"/>
        <w:tabs>
          <w:tab w:val="left" w:pos="3885"/>
        </w:tabs>
        <w:kinsoku/>
        <w:wordWrap/>
        <w:overflowPunct/>
        <w:topLinePunct w:val="0"/>
        <w:autoSpaceDE/>
        <w:autoSpaceDN/>
        <w:bidi w:val="0"/>
        <w:adjustRightInd w:val="0"/>
        <w:snapToGrid w:val="0"/>
        <w:spacing w:line="560" w:lineRule="exact"/>
        <w:ind w:firstLine="643" w:firstLineChars="200"/>
        <w:jc w:val="left"/>
        <w:textAlignment w:val="auto"/>
        <w:outlineLvl w:val="1"/>
        <w:rPr>
          <w:rFonts w:eastAsia="方正黑体简体"/>
          <w:b/>
          <w:bCs/>
          <w:color w:val="auto"/>
          <w:sz w:val="32"/>
          <w:szCs w:val="32"/>
        </w:rPr>
      </w:pPr>
      <w:r>
        <w:rPr>
          <w:rFonts w:eastAsia="方正黑体简体"/>
          <w:b/>
          <w:bCs/>
          <w:color w:val="auto"/>
          <w:sz w:val="32"/>
          <w:szCs w:val="32"/>
        </w:rPr>
        <w:t>六、相关措施建议</w:t>
      </w:r>
    </w:p>
    <w:p>
      <w:pPr>
        <w:keepNext w:val="0"/>
        <w:keepLines w:val="0"/>
        <w:pageBreakBefore w:val="0"/>
        <w:kinsoku/>
        <w:wordWrap/>
        <w:overflowPunct/>
        <w:topLinePunct w:val="0"/>
        <w:autoSpaceDE/>
        <w:autoSpaceDN/>
        <w:bidi w:val="0"/>
        <w:snapToGrid w:val="0"/>
        <w:spacing w:line="560" w:lineRule="exact"/>
        <w:ind w:firstLine="643" w:firstLineChars="200"/>
        <w:textAlignment w:val="auto"/>
        <w:rPr>
          <w:rFonts w:hint="eastAsia" w:eastAsia="方正仿宋简体"/>
          <w:b/>
          <w:bCs/>
          <w:color w:val="auto"/>
          <w:sz w:val="32"/>
          <w:szCs w:val="32"/>
          <w:lang w:eastAsia="zh-CN"/>
        </w:rPr>
      </w:pPr>
      <w:r>
        <w:rPr>
          <w:rFonts w:eastAsia="方正仿宋简体"/>
          <w:b/>
          <w:bCs/>
          <w:color w:val="auto"/>
          <w:sz w:val="32"/>
          <w:szCs w:val="32"/>
        </w:rPr>
        <w:t>继续加大信息化</w:t>
      </w:r>
      <w:r>
        <w:rPr>
          <w:rFonts w:hint="eastAsia" w:eastAsia="方正仿宋简体"/>
          <w:b/>
          <w:bCs/>
          <w:color w:val="auto"/>
          <w:sz w:val="32"/>
          <w:szCs w:val="32"/>
          <w:lang w:eastAsia="zh-CN"/>
        </w:rPr>
        <w:t>建设及</w:t>
      </w:r>
      <w:r>
        <w:rPr>
          <w:rFonts w:eastAsia="方正仿宋简体"/>
          <w:b/>
          <w:bCs/>
          <w:color w:val="auto"/>
          <w:sz w:val="32"/>
          <w:szCs w:val="32"/>
        </w:rPr>
        <w:t>运维工作的投入，特别是信息安全方面的投入</w:t>
      </w:r>
      <w:r>
        <w:rPr>
          <w:rFonts w:hint="eastAsia" w:eastAsia="方正仿宋简体"/>
          <w:b/>
          <w:bCs/>
          <w:color w:val="auto"/>
          <w:sz w:val="32"/>
          <w:szCs w:val="32"/>
          <w:lang w:eastAsia="zh-CN"/>
        </w:rPr>
        <w:t>；</w:t>
      </w:r>
      <w:r>
        <w:rPr>
          <w:rFonts w:eastAsia="方正仿宋简体"/>
          <w:b/>
          <w:bCs/>
          <w:color w:val="auto"/>
          <w:sz w:val="32"/>
          <w:szCs w:val="32"/>
        </w:rPr>
        <w:t>加强绩效管理，进一步明确目标，</w:t>
      </w:r>
      <w:r>
        <w:rPr>
          <w:rFonts w:hint="eastAsia" w:eastAsia="方正仿宋简体"/>
          <w:b/>
          <w:bCs/>
          <w:color w:val="auto"/>
          <w:sz w:val="32"/>
          <w:szCs w:val="32"/>
          <w:lang w:eastAsia="zh-CN"/>
        </w:rPr>
        <w:t>提升管理水平。</w:t>
      </w:r>
    </w:p>
    <w:p>
      <w:pPr>
        <w:keepNext w:val="0"/>
        <w:keepLines w:val="0"/>
        <w:pageBreakBefore w:val="0"/>
        <w:widowControl/>
        <w:kinsoku/>
        <w:wordWrap/>
        <w:overflowPunct/>
        <w:topLinePunct w:val="0"/>
        <w:autoSpaceDE/>
        <w:autoSpaceDN/>
        <w:bidi w:val="0"/>
        <w:spacing w:line="560" w:lineRule="exact"/>
        <w:jc w:val="left"/>
        <w:textAlignment w:val="auto"/>
        <w:rPr>
          <w:rStyle w:val="24"/>
          <w:rFonts w:ascii="黑体" w:hAnsi="黑体" w:eastAsia="黑体"/>
          <w:b/>
          <w:bCs/>
          <w:color w:val="auto"/>
          <w:highlight w:val="none"/>
        </w:rPr>
      </w:pPr>
    </w:p>
    <w:p>
      <w:pPr>
        <w:keepNext w:val="0"/>
        <w:keepLines w:val="0"/>
        <w:pageBreakBefore w:val="0"/>
        <w:kinsoku/>
        <w:wordWrap/>
        <w:overflowPunct/>
        <w:topLinePunct w:val="0"/>
        <w:autoSpaceDE/>
        <w:autoSpaceDN/>
        <w:bidi w:val="0"/>
        <w:spacing w:line="560" w:lineRule="exact"/>
        <w:jc w:val="center"/>
        <w:textAlignment w:val="auto"/>
        <w:outlineLvl w:val="0"/>
        <w:rPr>
          <w:rFonts w:hint="eastAsia" w:ascii="黑体" w:hAnsi="黑体" w:eastAsia="黑体"/>
          <w:b/>
          <w:bCs/>
          <w:color w:val="auto"/>
          <w:sz w:val="44"/>
          <w:szCs w:val="44"/>
          <w:highlight w:val="none"/>
        </w:rPr>
      </w:pPr>
      <w:bookmarkStart w:id="57" w:name="_Toc15396618"/>
    </w:p>
    <w:p>
      <w:pPr>
        <w:keepNext w:val="0"/>
        <w:keepLines w:val="0"/>
        <w:pageBreakBefore w:val="0"/>
        <w:kinsoku/>
        <w:wordWrap/>
        <w:overflowPunct/>
        <w:topLinePunct w:val="0"/>
        <w:autoSpaceDE/>
        <w:autoSpaceDN/>
        <w:bidi w:val="0"/>
        <w:spacing w:line="560" w:lineRule="exact"/>
        <w:jc w:val="center"/>
        <w:textAlignment w:val="auto"/>
        <w:outlineLvl w:val="0"/>
        <w:rPr>
          <w:rFonts w:hint="eastAsia" w:ascii="黑体" w:hAnsi="黑体" w:eastAsia="黑体"/>
          <w:b/>
          <w:bCs/>
          <w:color w:val="auto"/>
          <w:sz w:val="44"/>
          <w:szCs w:val="44"/>
          <w:highlight w:val="none"/>
        </w:rPr>
      </w:pPr>
    </w:p>
    <w:p>
      <w:pPr>
        <w:keepNext w:val="0"/>
        <w:keepLines w:val="0"/>
        <w:pageBreakBefore w:val="0"/>
        <w:kinsoku/>
        <w:wordWrap/>
        <w:overflowPunct/>
        <w:topLinePunct w:val="0"/>
        <w:autoSpaceDE/>
        <w:autoSpaceDN/>
        <w:bidi w:val="0"/>
        <w:spacing w:line="560" w:lineRule="exact"/>
        <w:jc w:val="center"/>
        <w:textAlignment w:val="auto"/>
        <w:outlineLvl w:val="0"/>
        <w:rPr>
          <w:rFonts w:hint="eastAsia" w:ascii="黑体" w:hAnsi="黑体" w:eastAsia="黑体"/>
          <w:b/>
          <w:bCs/>
          <w:color w:val="auto"/>
          <w:sz w:val="44"/>
          <w:szCs w:val="44"/>
          <w:highlight w:val="none"/>
        </w:rPr>
      </w:pPr>
    </w:p>
    <w:p>
      <w:pPr>
        <w:spacing w:line="600" w:lineRule="exact"/>
        <w:jc w:val="center"/>
        <w:outlineLvl w:val="0"/>
        <w:rPr>
          <w:rFonts w:hint="eastAsia" w:ascii="黑体" w:hAnsi="黑体" w:eastAsia="黑体"/>
          <w:b/>
          <w:bCs/>
          <w:color w:val="auto"/>
          <w:sz w:val="44"/>
          <w:szCs w:val="44"/>
          <w:highlight w:val="none"/>
        </w:rPr>
      </w:pPr>
    </w:p>
    <w:p>
      <w:pPr>
        <w:pStyle w:val="2"/>
        <w:rPr>
          <w:rFonts w:hint="eastAsia" w:ascii="黑体" w:hAnsi="黑体" w:eastAsia="黑体"/>
          <w:b/>
          <w:bCs/>
          <w:color w:val="auto"/>
          <w:sz w:val="44"/>
          <w:szCs w:val="44"/>
          <w:highlight w:val="none"/>
        </w:rPr>
      </w:pPr>
    </w:p>
    <w:p>
      <w:pPr>
        <w:pStyle w:val="2"/>
        <w:rPr>
          <w:rFonts w:hint="eastAsia" w:ascii="黑体" w:hAnsi="黑体" w:eastAsia="黑体"/>
          <w:b/>
          <w:bCs/>
          <w:color w:val="auto"/>
          <w:sz w:val="44"/>
          <w:szCs w:val="44"/>
          <w:highlight w:val="none"/>
        </w:rPr>
      </w:pPr>
    </w:p>
    <w:p>
      <w:pPr>
        <w:spacing w:line="600" w:lineRule="exact"/>
        <w:jc w:val="center"/>
        <w:outlineLvl w:val="0"/>
        <w:rPr>
          <w:rFonts w:hint="eastAsia" w:ascii="仿宋" w:hAnsi="仿宋" w:eastAsia="仿宋"/>
          <w:b/>
          <w:bCs/>
          <w:color w:val="auto"/>
          <w:highlight w:val="none"/>
        </w:rPr>
      </w:pPr>
      <w:r>
        <w:rPr>
          <w:rFonts w:hint="eastAsia" w:ascii="黑体" w:hAnsi="黑体" w:eastAsia="黑体"/>
          <w:b/>
          <w:bCs/>
          <w:color w:val="auto"/>
          <w:sz w:val="44"/>
          <w:szCs w:val="44"/>
          <w:highlight w:val="none"/>
        </w:rPr>
        <w:t>第</w:t>
      </w:r>
      <w:r>
        <w:rPr>
          <w:rStyle w:val="24"/>
          <w:rFonts w:hint="eastAsia" w:ascii="黑体" w:hAnsi="黑体" w:eastAsia="黑体"/>
          <w:b/>
          <w:bCs/>
          <w:color w:val="auto"/>
          <w:highlight w:val="none"/>
        </w:rPr>
        <w:t>五部分 附表</w:t>
      </w:r>
      <w:bookmarkEnd w:id="56"/>
      <w:bookmarkEnd w:id="57"/>
      <w:bookmarkStart w:id="58" w:name="_Toc15396619"/>
    </w:p>
    <w:p>
      <w:pPr>
        <w:pStyle w:val="4"/>
        <w:rPr>
          <w:rFonts w:ascii="仿宋" w:hAnsi="仿宋" w:eastAsia="仿宋"/>
          <w:b/>
          <w:bCs/>
          <w:color w:val="auto"/>
          <w:highlight w:val="none"/>
        </w:rPr>
      </w:pPr>
      <w:r>
        <w:rPr>
          <w:rFonts w:hint="eastAsia" w:ascii="仿宋" w:hAnsi="仿宋" w:eastAsia="仿宋"/>
          <w:b/>
          <w:bCs/>
          <w:color w:val="auto"/>
          <w:highlight w:val="none"/>
        </w:rPr>
        <w:t>一、收</w:t>
      </w:r>
      <w:r>
        <w:rPr>
          <w:rStyle w:val="25"/>
          <w:rFonts w:hint="eastAsia" w:ascii="仿宋" w:hAnsi="仿宋" w:eastAsia="仿宋"/>
          <w:b/>
          <w:bCs/>
          <w:color w:val="auto"/>
          <w:highlight w:val="none"/>
        </w:rPr>
        <w:t>入支出决算总表</w:t>
      </w:r>
      <w:bookmarkEnd w:id="58"/>
    </w:p>
    <w:p>
      <w:pPr>
        <w:pStyle w:val="4"/>
        <w:rPr>
          <w:rFonts w:ascii="仿宋" w:hAnsi="仿宋" w:eastAsia="仿宋"/>
          <w:b/>
          <w:bCs/>
          <w:color w:val="auto"/>
          <w:highlight w:val="none"/>
        </w:rPr>
      </w:pPr>
      <w:bookmarkStart w:id="59" w:name="_Toc15396620"/>
      <w:r>
        <w:rPr>
          <w:rFonts w:hint="eastAsia" w:ascii="仿宋" w:hAnsi="仿宋" w:eastAsia="仿宋"/>
          <w:b/>
          <w:bCs/>
          <w:color w:val="auto"/>
          <w:highlight w:val="none"/>
        </w:rPr>
        <w:t>二、收</w:t>
      </w:r>
      <w:r>
        <w:rPr>
          <w:rStyle w:val="25"/>
          <w:rFonts w:hint="eastAsia" w:ascii="仿宋" w:hAnsi="仿宋" w:eastAsia="仿宋"/>
          <w:b/>
          <w:bCs/>
          <w:color w:val="auto"/>
          <w:highlight w:val="none"/>
        </w:rPr>
        <w:t>入决算表</w:t>
      </w:r>
      <w:bookmarkEnd w:id="59"/>
    </w:p>
    <w:p>
      <w:pPr>
        <w:pStyle w:val="4"/>
        <w:rPr>
          <w:rFonts w:ascii="仿宋" w:hAnsi="仿宋" w:eastAsia="仿宋"/>
          <w:b/>
          <w:bCs/>
          <w:color w:val="auto"/>
          <w:highlight w:val="none"/>
        </w:rPr>
      </w:pPr>
      <w:bookmarkStart w:id="60" w:name="_Toc15396621"/>
      <w:r>
        <w:rPr>
          <w:rStyle w:val="25"/>
          <w:rFonts w:hint="eastAsia" w:ascii="仿宋" w:hAnsi="仿宋" w:eastAsia="仿宋"/>
          <w:b/>
          <w:bCs/>
          <w:color w:val="auto"/>
          <w:highlight w:val="none"/>
        </w:rPr>
        <w:t>三、</w:t>
      </w:r>
      <w:r>
        <w:rPr>
          <w:rFonts w:hint="eastAsia" w:ascii="仿宋" w:hAnsi="仿宋" w:eastAsia="仿宋"/>
          <w:b/>
          <w:bCs/>
          <w:color w:val="auto"/>
          <w:highlight w:val="none"/>
        </w:rPr>
        <w:t>支</w:t>
      </w:r>
      <w:r>
        <w:rPr>
          <w:rStyle w:val="25"/>
          <w:rFonts w:hint="eastAsia" w:ascii="仿宋" w:hAnsi="仿宋" w:eastAsia="仿宋"/>
          <w:b/>
          <w:bCs/>
          <w:color w:val="auto"/>
          <w:highlight w:val="none"/>
        </w:rPr>
        <w:t>出决算表</w:t>
      </w:r>
      <w:bookmarkEnd w:id="60"/>
    </w:p>
    <w:p>
      <w:pPr>
        <w:pStyle w:val="4"/>
        <w:rPr>
          <w:rFonts w:ascii="仿宋" w:hAnsi="仿宋" w:eastAsia="仿宋"/>
          <w:b/>
          <w:bCs/>
          <w:color w:val="auto"/>
          <w:highlight w:val="none"/>
        </w:rPr>
      </w:pPr>
      <w:bookmarkStart w:id="61" w:name="_Toc15396622"/>
      <w:r>
        <w:rPr>
          <w:rStyle w:val="25"/>
          <w:rFonts w:hint="eastAsia" w:ascii="仿宋" w:hAnsi="仿宋" w:eastAsia="仿宋"/>
          <w:b/>
          <w:bCs/>
          <w:color w:val="auto"/>
          <w:highlight w:val="none"/>
        </w:rPr>
        <w:t>四、</w:t>
      </w:r>
      <w:r>
        <w:rPr>
          <w:rFonts w:hint="eastAsia" w:ascii="仿宋" w:hAnsi="仿宋" w:eastAsia="仿宋"/>
          <w:b/>
          <w:bCs/>
          <w:color w:val="auto"/>
          <w:highlight w:val="none"/>
        </w:rPr>
        <w:t>财</w:t>
      </w:r>
      <w:r>
        <w:rPr>
          <w:rStyle w:val="25"/>
          <w:rFonts w:hint="eastAsia" w:ascii="仿宋" w:hAnsi="仿宋" w:eastAsia="仿宋"/>
          <w:b/>
          <w:bCs/>
          <w:color w:val="auto"/>
          <w:highlight w:val="none"/>
        </w:rPr>
        <w:t>政拨款收入支出决算总表</w:t>
      </w:r>
      <w:bookmarkEnd w:id="61"/>
    </w:p>
    <w:p>
      <w:pPr>
        <w:pStyle w:val="4"/>
        <w:rPr>
          <w:rStyle w:val="25"/>
          <w:rFonts w:ascii="仿宋" w:hAnsi="仿宋" w:eastAsia="仿宋"/>
          <w:b/>
          <w:bCs/>
          <w:color w:val="auto"/>
          <w:highlight w:val="none"/>
        </w:rPr>
      </w:pPr>
      <w:bookmarkStart w:id="62" w:name="_Toc15396623"/>
      <w:r>
        <w:rPr>
          <w:rStyle w:val="25"/>
          <w:rFonts w:hint="eastAsia" w:ascii="仿宋" w:hAnsi="仿宋" w:eastAsia="仿宋"/>
          <w:b/>
          <w:bCs/>
          <w:color w:val="auto"/>
          <w:highlight w:val="none"/>
        </w:rPr>
        <w:t>五、</w:t>
      </w:r>
      <w:r>
        <w:rPr>
          <w:rFonts w:hint="eastAsia" w:ascii="仿宋" w:hAnsi="仿宋" w:eastAsia="仿宋"/>
          <w:b/>
          <w:bCs/>
          <w:color w:val="auto"/>
          <w:highlight w:val="none"/>
        </w:rPr>
        <w:t>财</w:t>
      </w:r>
      <w:r>
        <w:rPr>
          <w:rStyle w:val="25"/>
          <w:rFonts w:hint="eastAsia" w:ascii="仿宋" w:hAnsi="仿宋" w:eastAsia="仿宋"/>
          <w:b/>
          <w:bCs/>
          <w:color w:val="auto"/>
          <w:highlight w:val="none"/>
        </w:rPr>
        <w:t>政拨款支出决算明细表</w:t>
      </w:r>
      <w:bookmarkEnd w:id="62"/>
      <w:bookmarkStart w:id="63" w:name="_Toc15396624"/>
    </w:p>
    <w:p>
      <w:pPr>
        <w:pStyle w:val="4"/>
        <w:rPr>
          <w:rFonts w:ascii="仿宋" w:hAnsi="仿宋" w:eastAsia="仿宋"/>
          <w:b/>
          <w:bCs/>
          <w:color w:val="auto"/>
          <w:highlight w:val="none"/>
        </w:rPr>
      </w:pPr>
      <w:r>
        <w:rPr>
          <w:rStyle w:val="25"/>
          <w:rFonts w:hint="eastAsia" w:ascii="仿宋" w:hAnsi="仿宋" w:eastAsia="仿宋"/>
          <w:b/>
          <w:bCs/>
          <w:color w:val="auto"/>
          <w:highlight w:val="none"/>
        </w:rPr>
        <w:t>六、</w:t>
      </w:r>
      <w:r>
        <w:rPr>
          <w:rFonts w:hint="eastAsia" w:ascii="仿宋" w:hAnsi="仿宋" w:eastAsia="仿宋"/>
          <w:b/>
          <w:bCs/>
          <w:color w:val="auto"/>
          <w:highlight w:val="none"/>
        </w:rPr>
        <w:t>一</w:t>
      </w:r>
      <w:r>
        <w:rPr>
          <w:rStyle w:val="25"/>
          <w:rFonts w:hint="eastAsia" w:ascii="仿宋" w:hAnsi="仿宋" w:eastAsia="仿宋"/>
          <w:b/>
          <w:bCs/>
          <w:color w:val="auto"/>
          <w:highlight w:val="none"/>
        </w:rPr>
        <w:t>般公共预算财政拨款支出决算表</w:t>
      </w:r>
      <w:bookmarkEnd w:id="63"/>
    </w:p>
    <w:p>
      <w:pPr>
        <w:pStyle w:val="4"/>
        <w:rPr>
          <w:rFonts w:ascii="仿宋" w:hAnsi="仿宋" w:eastAsia="仿宋"/>
          <w:b/>
          <w:bCs/>
          <w:color w:val="auto"/>
          <w:highlight w:val="none"/>
        </w:rPr>
      </w:pPr>
      <w:bookmarkStart w:id="64" w:name="_Toc15396625"/>
      <w:r>
        <w:rPr>
          <w:rStyle w:val="25"/>
          <w:rFonts w:hint="eastAsia" w:ascii="仿宋" w:hAnsi="仿宋" w:eastAsia="仿宋"/>
          <w:b/>
          <w:bCs/>
          <w:color w:val="auto"/>
          <w:highlight w:val="none"/>
        </w:rPr>
        <w:t>七、</w:t>
      </w:r>
      <w:r>
        <w:rPr>
          <w:rFonts w:hint="eastAsia" w:ascii="仿宋" w:hAnsi="仿宋" w:eastAsia="仿宋"/>
          <w:b/>
          <w:bCs/>
          <w:color w:val="auto"/>
          <w:highlight w:val="none"/>
        </w:rPr>
        <w:t>一</w:t>
      </w:r>
      <w:r>
        <w:rPr>
          <w:rStyle w:val="25"/>
          <w:rFonts w:hint="eastAsia" w:ascii="仿宋" w:hAnsi="仿宋" w:eastAsia="仿宋"/>
          <w:b/>
          <w:bCs/>
          <w:color w:val="auto"/>
          <w:highlight w:val="none"/>
        </w:rPr>
        <w:t>般公共预算财政拨款支出决算明细表</w:t>
      </w:r>
      <w:bookmarkEnd w:id="64"/>
    </w:p>
    <w:p>
      <w:pPr>
        <w:pStyle w:val="4"/>
        <w:rPr>
          <w:rFonts w:ascii="仿宋" w:hAnsi="仿宋" w:eastAsia="仿宋"/>
          <w:b/>
          <w:bCs/>
          <w:color w:val="auto"/>
          <w:highlight w:val="none"/>
        </w:rPr>
      </w:pPr>
      <w:bookmarkStart w:id="65" w:name="_Toc15396626"/>
      <w:r>
        <w:rPr>
          <w:rStyle w:val="25"/>
          <w:rFonts w:hint="eastAsia" w:ascii="仿宋" w:hAnsi="仿宋" w:eastAsia="仿宋"/>
          <w:b/>
          <w:bCs/>
          <w:color w:val="auto"/>
          <w:highlight w:val="none"/>
        </w:rPr>
        <w:t>八、</w:t>
      </w:r>
      <w:r>
        <w:rPr>
          <w:rFonts w:hint="eastAsia" w:ascii="仿宋" w:hAnsi="仿宋" w:eastAsia="仿宋"/>
          <w:b/>
          <w:bCs/>
          <w:color w:val="auto"/>
          <w:highlight w:val="none"/>
        </w:rPr>
        <w:t>一</w:t>
      </w:r>
      <w:r>
        <w:rPr>
          <w:rStyle w:val="25"/>
          <w:rFonts w:hint="eastAsia" w:ascii="仿宋" w:hAnsi="仿宋" w:eastAsia="仿宋"/>
          <w:b/>
          <w:bCs/>
          <w:color w:val="auto"/>
          <w:highlight w:val="none"/>
        </w:rPr>
        <w:t>般公共预算财政拨款基本支出决算表</w:t>
      </w:r>
      <w:bookmarkEnd w:id="65"/>
    </w:p>
    <w:p>
      <w:pPr>
        <w:pStyle w:val="4"/>
        <w:rPr>
          <w:rFonts w:ascii="仿宋" w:hAnsi="仿宋" w:eastAsia="仿宋"/>
          <w:b/>
          <w:bCs/>
          <w:color w:val="auto"/>
          <w:highlight w:val="none"/>
        </w:rPr>
      </w:pPr>
      <w:bookmarkStart w:id="66" w:name="_Toc15396627"/>
      <w:r>
        <w:rPr>
          <w:rStyle w:val="25"/>
          <w:rFonts w:hint="eastAsia" w:ascii="仿宋" w:hAnsi="仿宋" w:eastAsia="仿宋"/>
          <w:b/>
          <w:bCs/>
          <w:color w:val="auto"/>
          <w:highlight w:val="none"/>
        </w:rPr>
        <w:t>九、</w:t>
      </w:r>
      <w:r>
        <w:rPr>
          <w:rFonts w:hint="eastAsia" w:ascii="仿宋" w:hAnsi="仿宋" w:eastAsia="仿宋"/>
          <w:b/>
          <w:bCs/>
          <w:color w:val="auto"/>
          <w:highlight w:val="none"/>
        </w:rPr>
        <w:t>一</w:t>
      </w:r>
      <w:r>
        <w:rPr>
          <w:rStyle w:val="25"/>
          <w:rFonts w:hint="eastAsia" w:ascii="仿宋" w:hAnsi="仿宋" w:eastAsia="仿宋"/>
          <w:b/>
          <w:bCs/>
          <w:color w:val="auto"/>
          <w:highlight w:val="none"/>
        </w:rPr>
        <w:t>般公共预算财政拨款项目支出决算表</w:t>
      </w:r>
      <w:bookmarkEnd w:id="66"/>
    </w:p>
    <w:p>
      <w:pPr>
        <w:pStyle w:val="4"/>
        <w:rPr>
          <w:rFonts w:ascii="仿宋" w:hAnsi="仿宋" w:eastAsia="仿宋"/>
          <w:b/>
          <w:bCs/>
          <w:color w:val="auto"/>
          <w:highlight w:val="none"/>
        </w:rPr>
      </w:pPr>
      <w:bookmarkStart w:id="67" w:name="_Toc15396628"/>
      <w:r>
        <w:rPr>
          <w:rStyle w:val="25"/>
          <w:rFonts w:hint="eastAsia" w:ascii="仿宋" w:hAnsi="仿宋" w:eastAsia="仿宋"/>
          <w:b/>
          <w:bCs/>
          <w:color w:val="auto"/>
          <w:highlight w:val="none"/>
        </w:rPr>
        <w:t>十、</w:t>
      </w:r>
      <w:r>
        <w:rPr>
          <w:rFonts w:hint="eastAsia" w:ascii="仿宋" w:hAnsi="仿宋" w:eastAsia="仿宋"/>
          <w:b/>
          <w:bCs/>
          <w:color w:val="auto"/>
          <w:highlight w:val="none"/>
        </w:rPr>
        <w:t>一</w:t>
      </w:r>
      <w:r>
        <w:rPr>
          <w:rStyle w:val="25"/>
          <w:rFonts w:hint="eastAsia" w:ascii="仿宋" w:hAnsi="仿宋" w:eastAsia="仿宋"/>
          <w:b/>
          <w:bCs/>
          <w:color w:val="auto"/>
          <w:highlight w:val="none"/>
        </w:rPr>
        <w:t>般公共预算财政拨款“三公”经费支出决算表</w:t>
      </w:r>
      <w:bookmarkEnd w:id="67"/>
    </w:p>
    <w:p>
      <w:pPr>
        <w:pStyle w:val="4"/>
        <w:rPr>
          <w:rFonts w:ascii="仿宋" w:hAnsi="仿宋" w:eastAsia="仿宋"/>
          <w:b/>
          <w:bCs/>
          <w:color w:val="auto"/>
          <w:highlight w:val="none"/>
        </w:rPr>
      </w:pPr>
      <w:bookmarkStart w:id="68" w:name="_Toc15396629"/>
      <w:r>
        <w:rPr>
          <w:rStyle w:val="25"/>
          <w:rFonts w:hint="eastAsia" w:ascii="仿宋" w:hAnsi="仿宋" w:eastAsia="仿宋"/>
          <w:b/>
          <w:bCs/>
          <w:color w:val="auto"/>
          <w:highlight w:val="none"/>
        </w:rPr>
        <w:t>十一、</w:t>
      </w:r>
      <w:r>
        <w:rPr>
          <w:rFonts w:hint="eastAsia" w:ascii="仿宋" w:hAnsi="仿宋" w:eastAsia="仿宋"/>
          <w:b/>
          <w:bCs/>
          <w:color w:val="auto"/>
          <w:highlight w:val="none"/>
        </w:rPr>
        <w:t>政</w:t>
      </w:r>
      <w:r>
        <w:rPr>
          <w:rStyle w:val="25"/>
          <w:rFonts w:hint="eastAsia" w:ascii="仿宋" w:hAnsi="仿宋" w:eastAsia="仿宋"/>
          <w:b/>
          <w:bCs/>
          <w:color w:val="auto"/>
          <w:highlight w:val="none"/>
        </w:rPr>
        <w:t>府性基金预算财政拨款收入支出决算表</w:t>
      </w:r>
      <w:bookmarkEnd w:id="68"/>
    </w:p>
    <w:p>
      <w:pPr>
        <w:pStyle w:val="4"/>
        <w:rPr>
          <w:rFonts w:ascii="仿宋" w:hAnsi="仿宋" w:eastAsia="仿宋"/>
          <w:b/>
          <w:bCs/>
          <w:color w:val="auto"/>
          <w:highlight w:val="none"/>
        </w:rPr>
      </w:pPr>
      <w:bookmarkStart w:id="69" w:name="_Toc15396630"/>
      <w:r>
        <w:rPr>
          <w:rStyle w:val="25"/>
          <w:rFonts w:hint="eastAsia" w:ascii="仿宋" w:hAnsi="仿宋" w:eastAsia="仿宋"/>
          <w:b/>
          <w:bCs/>
          <w:color w:val="auto"/>
          <w:highlight w:val="none"/>
        </w:rPr>
        <w:t>十二、</w:t>
      </w:r>
      <w:r>
        <w:rPr>
          <w:rFonts w:hint="eastAsia" w:ascii="仿宋" w:hAnsi="仿宋" w:eastAsia="仿宋"/>
          <w:b/>
          <w:bCs/>
          <w:color w:val="auto"/>
          <w:highlight w:val="none"/>
        </w:rPr>
        <w:t>政</w:t>
      </w:r>
      <w:r>
        <w:rPr>
          <w:rStyle w:val="25"/>
          <w:rFonts w:hint="eastAsia" w:ascii="仿宋" w:hAnsi="仿宋" w:eastAsia="仿宋"/>
          <w:b/>
          <w:bCs/>
          <w:color w:val="auto"/>
          <w:highlight w:val="none"/>
        </w:rPr>
        <w:t>府性基金预算财政拨款“三公”经费支出决算表</w:t>
      </w:r>
      <w:bookmarkEnd w:id="69"/>
    </w:p>
    <w:p>
      <w:pPr>
        <w:pStyle w:val="4"/>
        <w:rPr>
          <w:rStyle w:val="25"/>
          <w:rFonts w:hint="eastAsia" w:ascii="仿宋" w:hAnsi="仿宋" w:eastAsia="仿宋"/>
          <w:b/>
          <w:bCs/>
          <w:color w:val="auto"/>
          <w:highlight w:val="none"/>
        </w:rPr>
      </w:pPr>
      <w:bookmarkStart w:id="70" w:name="_Toc15396631"/>
      <w:r>
        <w:rPr>
          <w:rStyle w:val="25"/>
          <w:rFonts w:hint="eastAsia" w:ascii="仿宋" w:hAnsi="仿宋" w:eastAsia="仿宋"/>
          <w:b/>
          <w:bCs/>
          <w:color w:val="auto"/>
          <w:highlight w:val="none"/>
        </w:rPr>
        <w:t>十三、</w:t>
      </w:r>
      <w:r>
        <w:rPr>
          <w:rFonts w:hint="eastAsia" w:ascii="仿宋" w:hAnsi="仿宋" w:eastAsia="仿宋"/>
          <w:b/>
          <w:bCs/>
          <w:color w:val="auto"/>
          <w:highlight w:val="none"/>
        </w:rPr>
        <w:t>国</w:t>
      </w:r>
      <w:r>
        <w:rPr>
          <w:rStyle w:val="25"/>
          <w:rFonts w:hint="eastAsia" w:ascii="仿宋" w:hAnsi="仿宋" w:eastAsia="仿宋"/>
          <w:b/>
          <w:bCs/>
          <w:color w:val="auto"/>
          <w:highlight w:val="none"/>
        </w:rPr>
        <w:t>有资本经营预算</w:t>
      </w:r>
      <w:r>
        <w:rPr>
          <w:rStyle w:val="25"/>
          <w:rFonts w:hint="eastAsia" w:ascii="仿宋" w:hAnsi="仿宋" w:eastAsia="仿宋"/>
          <w:b/>
          <w:bCs/>
          <w:color w:val="auto"/>
          <w:highlight w:val="none"/>
          <w:lang w:eastAsia="zh-CN"/>
        </w:rPr>
        <w:t>财政拨款收入</w:t>
      </w:r>
      <w:r>
        <w:rPr>
          <w:rStyle w:val="25"/>
          <w:rFonts w:hint="eastAsia" w:ascii="仿宋" w:hAnsi="仿宋" w:eastAsia="仿宋"/>
          <w:b/>
          <w:bCs/>
          <w:color w:val="auto"/>
          <w:highlight w:val="none"/>
        </w:rPr>
        <w:t>支出决算表</w:t>
      </w:r>
      <w:bookmarkEnd w:id="70"/>
    </w:p>
    <w:p>
      <w:pPr>
        <w:rPr>
          <w:rFonts w:hint="eastAsia" w:eastAsia="仿宋"/>
          <w:b/>
          <w:bCs/>
          <w:color w:val="auto"/>
          <w:highlight w:val="none"/>
          <w:lang w:eastAsia="zh-CN"/>
        </w:rPr>
      </w:pPr>
      <w:r>
        <w:rPr>
          <w:rStyle w:val="25"/>
          <w:rFonts w:hint="eastAsia" w:ascii="仿宋" w:hAnsi="仿宋" w:eastAsia="仿宋"/>
          <w:b/>
          <w:bCs/>
          <w:color w:val="auto"/>
          <w:highlight w:val="none"/>
          <w:lang w:eastAsia="zh-CN"/>
        </w:rPr>
        <w:t>十四、国有资本经营预算财政拨款支出决算表</w:t>
      </w:r>
    </w:p>
    <w:sectPr>
      <w:headerReference r:id="rId6" w:type="default"/>
      <w:footerReference r:id="rId7" w:type="default"/>
      <w:pgSz w:w="11906" w:h="16838"/>
      <w:pgMar w:top="1440" w:right="1803" w:bottom="1440" w:left="1803"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150"/>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- 2 -</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8"/>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- 2 -</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- 23 -</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8"/>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- 23 -</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 PAGE  \* MERGEFORMAT </w:instrText>
                          </w:r>
                          <w:r>
                            <w:rPr>
                              <w:rFonts w:hint="eastAsia" w:asciiTheme="minorEastAsia" w:hAnsiTheme="minorEastAsia" w:eastAsiaTheme="minorEastAsia" w:cstheme="minorEastAsia"/>
                              <w:color w:val="auto"/>
                              <w:sz w:val="24"/>
                              <w:szCs w:val="24"/>
                            </w:rPr>
                            <w:fldChar w:fldCharType="separate"/>
                          </w:r>
                          <w:r>
                            <w:rPr>
                              <w:rFonts w:hint="eastAsia" w:asciiTheme="minorEastAsia" w:hAnsiTheme="minorEastAsia" w:eastAsiaTheme="minorEastAsia" w:cstheme="minorEastAsia"/>
                              <w:color w:val="auto"/>
                              <w:sz w:val="24"/>
                              <w:szCs w:val="24"/>
                            </w:rPr>
                            <w:t>- 25 -</w:t>
                          </w:r>
                          <w:r>
                            <w:rPr>
                              <w:rFonts w:hint="eastAsia" w:asciiTheme="minorEastAsia" w:hAnsiTheme="minorEastAsia" w:eastAsiaTheme="minorEastAsia" w:cstheme="minorEastAsia"/>
                              <w:color w:val="auto"/>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 PAGE  \* MERGEFORMAT </w:instrText>
                    </w:r>
                    <w:r>
                      <w:rPr>
                        <w:rFonts w:hint="eastAsia" w:asciiTheme="minorEastAsia" w:hAnsiTheme="minorEastAsia" w:eastAsiaTheme="minorEastAsia" w:cstheme="minorEastAsia"/>
                        <w:color w:val="auto"/>
                        <w:sz w:val="24"/>
                        <w:szCs w:val="24"/>
                      </w:rPr>
                      <w:fldChar w:fldCharType="separate"/>
                    </w:r>
                    <w:r>
                      <w:rPr>
                        <w:rFonts w:hint="eastAsia" w:asciiTheme="minorEastAsia" w:hAnsiTheme="minorEastAsia" w:eastAsiaTheme="minorEastAsia" w:cstheme="minorEastAsia"/>
                        <w:color w:val="auto"/>
                        <w:sz w:val="24"/>
                        <w:szCs w:val="24"/>
                      </w:rPr>
                      <w:t>- 25 -</w:t>
                    </w:r>
                    <w:r>
                      <w:rPr>
                        <w:rFonts w:hint="eastAsia" w:asciiTheme="minorEastAsia" w:hAnsiTheme="minorEastAsia" w:eastAsiaTheme="minorEastAsia" w:cstheme="minorEastAsia"/>
                        <w:color w:val="auto"/>
                        <w:sz w:val="24"/>
                        <w:szCs w:val="24"/>
                      </w:rPr>
                      <w:fldChar w:fldCharType="end"/>
                    </w:r>
                  </w:p>
                </w:txbxContent>
              </v:textbox>
            </v:shape>
          </w:pict>
        </mc:Fallback>
      </mc:AlternateConten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1F1676"/>
    <w:multiLevelType w:val="singleLevel"/>
    <w:tmpl w:val="CE1F1676"/>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5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1487"/>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130F"/>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3D3442"/>
    <w:rsid w:val="02983E50"/>
    <w:rsid w:val="03F626FD"/>
    <w:rsid w:val="057F46B7"/>
    <w:rsid w:val="062A2C19"/>
    <w:rsid w:val="066E0107"/>
    <w:rsid w:val="07C23D8F"/>
    <w:rsid w:val="07DA3D8F"/>
    <w:rsid w:val="084E0E5A"/>
    <w:rsid w:val="08940577"/>
    <w:rsid w:val="093B3F48"/>
    <w:rsid w:val="09CE5E36"/>
    <w:rsid w:val="0A150AF5"/>
    <w:rsid w:val="0A2032A3"/>
    <w:rsid w:val="0AE56B0B"/>
    <w:rsid w:val="0C463FFA"/>
    <w:rsid w:val="0C90388D"/>
    <w:rsid w:val="0E871E2C"/>
    <w:rsid w:val="0FD35B64"/>
    <w:rsid w:val="101860EC"/>
    <w:rsid w:val="10C055FF"/>
    <w:rsid w:val="10C70AC6"/>
    <w:rsid w:val="118107EC"/>
    <w:rsid w:val="119F34A1"/>
    <w:rsid w:val="11D9032B"/>
    <w:rsid w:val="11D9732F"/>
    <w:rsid w:val="11FE3235"/>
    <w:rsid w:val="13750131"/>
    <w:rsid w:val="146E4613"/>
    <w:rsid w:val="149A2C77"/>
    <w:rsid w:val="153C3EE8"/>
    <w:rsid w:val="164A71A5"/>
    <w:rsid w:val="16942625"/>
    <w:rsid w:val="16A03E5D"/>
    <w:rsid w:val="16AA0990"/>
    <w:rsid w:val="16BB723D"/>
    <w:rsid w:val="16E40934"/>
    <w:rsid w:val="17653FDD"/>
    <w:rsid w:val="17B27A04"/>
    <w:rsid w:val="19027E8B"/>
    <w:rsid w:val="1A7933BF"/>
    <w:rsid w:val="1BE8440E"/>
    <w:rsid w:val="1C305ED6"/>
    <w:rsid w:val="1CCE6DE0"/>
    <w:rsid w:val="1CE3732D"/>
    <w:rsid w:val="1D155CEE"/>
    <w:rsid w:val="1DDA3280"/>
    <w:rsid w:val="1E8C5C3F"/>
    <w:rsid w:val="1EDF4E6F"/>
    <w:rsid w:val="201A368C"/>
    <w:rsid w:val="20F5306F"/>
    <w:rsid w:val="2179272B"/>
    <w:rsid w:val="21B93BA2"/>
    <w:rsid w:val="234D39A9"/>
    <w:rsid w:val="23860B96"/>
    <w:rsid w:val="240371BF"/>
    <w:rsid w:val="25440586"/>
    <w:rsid w:val="25782316"/>
    <w:rsid w:val="264B0211"/>
    <w:rsid w:val="26A85C92"/>
    <w:rsid w:val="26D72B2C"/>
    <w:rsid w:val="26E35A1F"/>
    <w:rsid w:val="27132DDA"/>
    <w:rsid w:val="278436CB"/>
    <w:rsid w:val="27D80FE6"/>
    <w:rsid w:val="282A73EF"/>
    <w:rsid w:val="287D361B"/>
    <w:rsid w:val="289A7013"/>
    <w:rsid w:val="29BA1E1B"/>
    <w:rsid w:val="29FD04D3"/>
    <w:rsid w:val="2B673119"/>
    <w:rsid w:val="2B9022DF"/>
    <w:rsid w:val="2C8A61B5"/>
    <w:rsid w:val="2CE52772"/>
    <w:rsid w:val="2DF04E50"/>
    <w:rsid w:val="2E660657"/>
    <w:rsid w:val="2F965E6B"/>
    <w:rsid w:val="2FC35030"/>
    <w:rsid w:val="30F21884"/>
    <w:rsid w:val="31411494"/>
    <w:rsid w:val="3190350E"/>
    <w:rsid w:val="319843F1"/>
    <w:rsid w:val="319F7F4E"/>
    <w:rsid w:val="323C5B17"/>
    <w:rsid w:val="33385702"/>
    <w:rsid w:val="33D35CB0"/>
    <w:rsid w:val="33EF3AB0"/>
    <w:rsid w:val="34D617D2"/>
    <w:rsid w:val="34F33FE2"/>
    <w:rsid w:val="36AA5135"/>
    <w:rsid w:val="36ED538F"/>
    <w:rsid w:val="380E2FAB"/>
    <w:rsid w:val="386402D1"/>
    <w:rsid w:val="387202B4"/>
    <w:rsid w:val="387722EF"/>
    <w:rsid w:val="38E8780A"/>
    <w:rsid w:val="393B6BBE"/>
    <w:rsid w:val="39573E10"/>
    <w:rsid w:val="39C60AAE"/>
    <w:rsid w:val="3AF94429"/>
    <w:rsid w:val="3C5F3AEF"/>
    <w:rsid w:val="3D98207C"/>
    <w:rsid w:val="3DBD4963"/>
    <w:rsid w:val="3E0F6927"/>
    <w:rsid w:val="3ED12832"/>
    <w:rsid w:val="3FA7552F"/>
    <w:rsid w:val="40B74343"/>
    <w:rsid w:val="41B4077C"/>
    <w:rsid w:val="42A053A8"/>
    <w:rsid w:val="42C41084"/>
    <w:rsid w:val="438B42B7"/>
    <w:rsid w:val="45520581"/>
    <w:rsid w:val="45807518"/>
    <w:rsid w:val="458E2DF5"/>
    <w:rsid w:val="45C5312D"/>
    <w:rsid w:val="46EF14A7"/>
    <w:rsid w:val="48A72078"/>
    <w:rsid w:val="49861DBA"/>
    <w:rsid w:val="4A1E3B23"/>
    <w:rsid w:val="4A581E12"/>
    <w:rsid w:val="4AA57360"/>
    <w:rsid w:val="4B3D18D4"/>
    <w:rsid w:val="4B4F25DA"/>
    <w:rsid w:val="4BD24D6A"/>
    <w:rsid w:val="4BE068DB"/>
    <w:rsid w:val="4BE41663"/>
    <w:rsid w:val="4BF27D0C"/>
    <w:rsid w:val="4C151A7F"/>
    <w:rsid w:val="4CBC1CDD"/>
    <w:rsid w:val="4D577224"/>
    <w:rsid w:val="4D5B1A2D"/>
    <w:rsid w:val="4EAB630A"/>
    <w:rsid w:val="4EBC0A8A"/>
    <w:rsid w:val="4EC239A5"/>
    <w:rsid w:val="4ECE2238"/>
    <w:rsid w:val="4F1E787F"/>
    <w:rsid w:val="4F9778DC"/>
    <w:rsid w:val="4FBE121A"/>
    <w:rsid w:val="52091178"/>
    <w:rsid w:val="524A4DB4"/>
    <w:rsid w:val="52EC2514"/>
    <w:rsid w:val="53685777"/>
    <w:rsid w:val="5533152B"/>
    <w:rsid w:val="559F1070"/>
    <w:rsid w:val="565344CE"/>
    <w:rsid w:val="56AD19AD"/>
    <w:rsid w:val="58F1236B"/>
    <w:rsid w:val="599C04E1"/>
    <w:rsid w:val="5A090263"/>
    <w:rsid w:val="5B5459EF"/>
    <w:rsid w:val="5CD71FC4"/>
    <w:rsid w:val="5D304276"/>
    <w:rsid w:val="5D9A5D09"/>
    <w:rsid w:val="5E6647B1"/>
    <w:rsid w:val="5E8F3091"/>
    <w:rsid w:val="5F38395D"/>
    <w:rsid w:val="5FCC26B8"/>
    <w:rsid w:val="5FD1776D"/>
    <w:rsid w:val="5FEC26F4"/>
    <w:rsid w:val="608448E0"/>
    <w:rsid w:val="60F6272E"/>
    <w:rsid w:val="616E5C33"/>
    <w:rsid w:val="61D87592"/>
    <w:rsid w:val="62C85ADF"/>
    <w:rsid w:val="64AC6CDB"/>
    <w:rsid w:val="660444D2"/>
    <w:rsid w:val="672B5578"/>
    <w:rsid w:val="67752888"/>
    <w:rsid w:val="677928DE"/>
    <w:rsid w:val="6846027A"/>
    <w:rsid w:val="69C61EEE"/>
    <w:rsid w:val="69FE1D3B"/>
    <w:rsid w:val="6ADC43BD"/>
    <w:rsid w:val="6BCE70BA"/>
    <w:rsid w:val="6C4A05C8"/>
    <w:rsid w:val="6D274381"/>
    <w:rsid w:val="6E7E3605"/>
    <w:rsid w:val="70344495"/>
    <w:rsid w:val="715C0E4B"/>
    <w:rsid w:val="7160576B"/>
    <w:rsid w:val="71896AE2"/>
    <w:rsid w:val="721675D5"/>
    <w:rsid w:val="723F5814"/>
    <w:rsid w:val="72734D90"/>
    <w:rsid w:val="7279430D"/>
    <w:rsid w:val="741652DA"/>
    <w:rsid w:val="75DE26BA"/>
    <w:rsid w:val="761C1E15"/>
    <w:rsid w:val="766822CC"/>
    <w:rsid w:val="773106E1"/>
    <w:rsid w:val="77BE4BB7"/>
    <w:rsid w:val="77C01EAB"/>
    <w:rsid w:val="77DA51AC"/>
    <w:rsid w:val="78B81FE8"/>
    <w:rsid w:val="7A481229"/>
    <w:rsid w:val="7A5B4944"/>
    <w:rsid w:val="7A7D3E80"/>
    <w:rsid w:val="7BFF3CCA"/>
    <w:rsid w:val="7DB13FFA"/>
    <w:rsid w:val="7DD50480"/>
    <w:rsid w:val="7E3B2EF9"/>
    <w:rsid w:val="7FA30C7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font31"/>
    <w:basedOn w:val="13"/>
    <w:qFormat/>
    <w:uiPriority w:val="0"/>
    <w:rPr>
      <w:rFonts w:hint="eastAsia" w:ascii="宋体" w:hAnsi="宋体" w:eastAsia="宋体" w:cs="宋体"/>
      <w:color w:val="000000"/>
      <w:sz w:val="24"/>
      <w:szCs w:val="24"/>
      <w:u w:val="none"/>
    </w:rPr>
  </w:style>
  <w:style w:type="character" w:customStyle="1" w:styleId="31">
    <w:name w:val="font41"/>
    <w:basedOn w:val="13"/>
    <w:qFormat/>
    <w:uiPriority w:val="0"/>
    <w:rPr>
      <w:rFonts w:hint="eastAsia" w:ascii="宋体" w:hAnsi="宋体" w:eastAsia="宋体" w:cs="宋体"/>
      <w:color w:val="000000"/>
      <w:sz w:val="20"/>
      <w:szCs w:val="20"/>
      <w:u w:val="none"/>
    </w:rPr>
  </w:style>
  <w:style w:type="character" w:customStyle="1" w:styleId="32">
    <w:name w:val="font61"/>
    <w:basedOn w:val="13"/>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7.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chartUserShapes" Target="../drawings/drawing1.xml"/><Relationship Id="rId1" Type="http://schemas.openxmlformats.org/officeDocument/2006/relationships/oleObject" Target="file:///D:\2020&#24180;&#20915;&#31639;\&#29983;&#25104;&#22270;&#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D:\2020&#24180;&#20915;&#31639;\&#29983;&#25104;&#22270;&#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38160;&#25463;&#23458;&#25143;&#31471;\WeChat\WeChat%20Files\hello-bly\FileStorage\File\2021-03\&#24037;&#20316;&#31807;1%20(&#33258;&#21160;&#20445;&#23384;&#30340;).xlsx" TargetMode="External"/></Relationships>
</file>

<file path=word/charts/_rels/chart4.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chartUserShapes" Target="../drawings/drawing2.xml"/><Relationship Id="rId1" Type="http://schemas.openxmlformats.org/officeDocument/2006/relationships/oleObject" Target="file:///D:\2020&#24180;&#20915;&#31639;\&#29983;&#25104;&#22270;&#34920;.xlsx" TargetMode="External"/></Relationships>
</file>

<file path=word/charts/_rels/chart5.xml.rels><?xml version="1.0" encoding="UTF-8" standalone="yes"?>
<Relationships xmlns="http://schemas.openxmlformats.org/package/2006/relationships"><Relationship Id="rId4" Type="http://schemas.microsoft.com/office/2011/relationships/chartColorStyle" Target="colors4.xml"/><Relationship Id="rId3" Type="http://schemas.microsoft.com/office/2011/relationships/chartStyle" Target="style4.xml"/><Relationship Id="rId2" Type="http://schemas.openxmlformats.org/officeDocument/2006/relationships/chartUserShapes" Target="../drawings/drawing3.xml"/><Relationship Id="rId1" Type="http://schemas.openxmlformats.org/officeDocument/2006/relationships/oleObject" Target="file:///D:\2020&#24180;&#20915;&#31639;\&#29983;&#25104;&#22270;&#34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2020&#24180;&#20915;&#31639;\&#29983;&#25104;&#22270;&#3492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D:\2020&#24180;&#20915;&#31639;\&#29983;&#25104;&#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solidFill>
                  <a:sysClr val="windowText" lastClr="000000"/>
                </a:solidFill>
              </a:rPr>
              <a:t>收、支决算总计变动情况图</a:t>
            </a:r>
            <a:endParaRPr b="1">
              <a:solidFill>
                <a:sysClr val="windowText" lastClr="000000"/>
              </a:solidFill>
            </a:endParaRPr>
          </a:p>
        </c:rich>
      </c:tx>
      <c:layout/>
      <c:overlay val="0"/>
      <c:spPr>
        <a:noFill/>
        <a:ln>
          <a:noFill/>
        </a:ln>
        <a:effectLst/>
      </c:spPr>
    </c:title>
    <c:autoTitleDeleted val="0"/>
    <c:plotArea>
      <c:layout/>
      <c:barChart>
        <c:barDir val="col"/>
        <c:grouping val="clustered"/>
        <c:varyColors val="0"/>
        <c:ser>
          <c:idx val="0"/>
          <c:order val="0"/>
          <c:tx>
            <c:strRef>
              <c:f>[生成图表.xlsx]Sheet4!$B$48</c:f>
              <c:strCache>
                <c:ptCount val="1"/>
                <c:pt idx="0">
                  <c:v>2019年</c:v>
                </c:pt>
              </c:strCache>
            </c:strRef>
          </c:tx>
          <c:spPr>
            <a:solidFill>
              <a:schemeClr val="accent1"/>
            </a:solidFill>
            <a:ln>
              <a:noFill/>
            </a:ln>
            <a:effectLst/>
          </c:spPr>
          <c:invertIfNegative val="0"/>
          <c:dLbls>
            <c:delete val="1"/>
          </c:dLbls>
          <c:cat>
            <c:multiLvlStrRef>
              <c:f>[生成图表.xlsx]Sheet4!$C$45:$D$47</c:f>
              <c:multiLvlStrCache>
                <c:ptCount val="2"/>
                <c:lvl>
                  <c:pt idx="0">
                    <c:v>收入决算数</c:v>
                  </c:pt>
                  <c:pt idx="1">
                    <c:v>支出决算数</c:v>
                  </c:pt>
                </c:lvl>
                <c:lvl/>
                <c:lvl/>
              </c:multiLvlStrCache>
            </c:multiLvlStrRef>
          </c:cat>
          <c:val>
            <c:numRef>
              <c:f>[生成图表.xlsx]Sheet4!$C$48:$D$48</c:f>
              <c:numCache>
                <c:formatCode>#,##0.00_ </c:formatCode>
                <c:ptCount val="2"/>
                <c:pt idx="0">
                  <c:v>17694.2</c:v>
                </c:pt>
                <c:pt idx="1">
                  <c:v>17694.2</c:v>
                </c:pt>
              </c:numCache>
            </c:numRef>
          </c:val>
        </c:ser>
        <c:ser>
          <c:idx val="1"/>
          <c:order val="1"/>
          <c:tx>
            <c:strRef>
              <c:f>[生成图表.xlsx]Sheet4!$B$49</c:f>
              <c:strCache>
                <c:ptCount val="1"/>
                <c:pt idx="0">
                  <c:v>2020年</c:v>
                </c:pt>
              </c:strCache>
            </c:strRef>
          </c:tx>
          <c:spPr>
            <a:solidFill>
              <a:schemeClr val="accent2"/>
            </a:solidFill>
            <a:ln>
              <a:noFill/>
            </a:ln>
            <a:effectLst/>
          </c:spPr>
          <c:invertIfNegative val="0"/>
          <c:dLbls>
            <c:delete val="1"/>
          </c:dLbls>
          <c:cat>
            <c:multiLvlStrRef>
              <c:f>[生成图表.xlsx]Sheet4!$C$45:$D$47</c:f>
              <c:multiLvlStrCache>
                <c:ptCount val="2"/>
                <c:lvl>
                  <c:pt idx="0">
                    <c:v>收入决算数</c:v>
                  </c:pt>
                  <c:pt idx="1">
                    <c:v>支出决算数</c:v>
                  </c:pt>
                </c:lvl>
                <c:lvl/>
                <c:lvl/>
              </c:multiLvlStrCache>
            </c:multiLvlStrRef>
          </c:cat>
          <c:val>
            <c:numRef>
              <c:f>[生成图表.xlsx]Sheet4!$C$49:$D$49</c:f>
              <c:numCache>
                <c:formatCode>#,##0.00_ </c:formatCode>
                <c:ptCount val="2"/>
                <c:pt idx="0">
                  <c:v>15724.2</c:v>
                </c:pt>
                <c:pt idx="1">
                  <c:v>15724.2</c:v>
                </c:pt>
              </c:numCache>
            </c:numRef>
          </c:val>
        </c:ser>
        <c:dLbls>
          <c:showLegendKey val="0"/>
          <c:showVal val="0"/>
          <c:showCatName val="0"/>
          <c:showSerName val="0"/>
          <c:showPercent val="0"/>
          <c:showBubbleSize val="0"/>
        </c:dLbls>
        <c:gapWidth val="219"/>
        <c:overlap val="-27"/>
        <c:axId val="869464569"/>
        <c:axId val="833643263"/>
      </c:barChart>
      <c:catAx>
        <c:axId val="86946456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3643263"/>
        <c:crosses val="autoZero"/>
        <c:auto val="1"/>
        <c:lblAlgn val="ctr"/>
        <c:lblOffset val="100"/>
        <c:noMultiLvlLbl val="0"/>
      </c:catAx>
      <c:valAx>
        <c:axId val="833643263"/>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946456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solidFill>
                  <a:sysClr val="windowText" lastClr="000000"/>
                </a:solidFill>
              </a:rPr>
              <a:t>收入决算结构图</a:t>
            </a:r>
            <a:endParaRPr b="1">
              <a:solidFill>
                <a:sysClr val="windowText" lastClr="000000"/>
              </a:solidFill>
            </a:endParaRPr>
          </a:p>
        </c:rich>
      </c:tx>
      <c:layout/>
      <c:overlay val="0"/>
      <c:spPr>
        <a:noFill/>
        <a:ln>
          <a:noFill/>
        </a:ln>
        <a:effectLst/>
      </c:spPr>
    </c:title>
    <c:autoTitleDeleted val="0"/>
    <c:plotArea>
      <c:layout/>
      <c:pieChart>
        <c:varyColors val="1"/>
        <c:ser>
          <c:idx val="0"/>
          <c:order val="0"/>
          <c:tx>
            <c:strRef>
              <c:f>[生成图表.xlsx]Sheet6!$B$1:$B$2</c:f>
              <c:strCache>
                <c:ptCount val="1"/>
                <c:pt idx="0">
                  <c:v>收入决算结构图 金额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[生成图表.xlsx]Sheet6!$A$3:$A$4</c:f>
              <c:strCache>
                <c:ptCount val="2"/>
                <c:pt idx="0">
                  <c:v>一般公共预算财政拨款收入</c:v>
                </c:pt>
                <c:pt idx="1">
                  <c:v>其他收入</c:v>
                </c:pt>
              </c:strCache>
            </c:strRef>
          </c:cat>
          <c:val>
            <c:numRef>
              <c:f>[生成图表.xlsx]Sheet6!$B$3:$B$4</c:f>
              <c:numCache>
                <c:formatCode>#,##0.00</c:formatCode>
                <c:ptCount val="2"/>
                <c:pt idx="0">
                  <c:v>13437.29</c:v>
                </c:pt>
                <c:pt idx="1">
                  <c:v>1.74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600" b="1" i="0" u="none" strike="noStrike" kern="1200" baseline="0">
                <a:solidFill>
                  <a:srgbClr val="000000"/>
                </a:solidFill>
                <a:latin typeface="+mn-lt"/>
                <a:ea typeface="+mn-ea"/>
                <a:cs typeface="+mn-cs"/>
              </a:defRPr>
            </a:pPr>
            <a:r>
              <a:rPr lang="zh-CN" altLang="en-US" sz="1600"/>
              <a:t>支出决算结构图 </a:t>
            </a:r>
            <a:endParaRPr lang="zh-CN" altLang="en-US" sz="1600"/>
          </a:p>
        </c:rich>
      </c:tx>
      <c:layout/>
      <c:overlay val="0"/>
    </c:title>
    <c:autoTitleDeleted val="0"/>
    <c:plotArea>
      <c:layout/>
      <c:pieChart>
        <c:varyColors val="1"/>
        <c:ser>
          <c:idx val="0"/>
          <c:order val="0"/>
          <c:tx>
            <c:strRef>
              <c:f>'[工作簿1 (自动保存的).xlsx]结构分析'!$B$12:$B$13</c:f>
              <c:strCache>
                <c:ptCount val="1"/>
                <c:pt idx="0">
                  <c:v>本年支出构成图 金额</c:v>
                </c:pt>
              </c:strCache>
            </c:strRef>
          </c:tx>
          <c:explosion val="0"/>
          <c:dPt>
            <c:idx val="0"/>
            <c:bubble3D val="0"/>
          </c:dPt>
          <c:dPt>
            <c:idx val="1"/>
            <c:bubble3D val="0"/>
          </c:dPt>
          <c:dLbls>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'[工作簿1 (自动保存的).xlsx]结构分析'!$A$14:$A$15</c:f>
              <c:strCache>
                <c:ptCount val="2"/>
                <c:pt idx="0">
                  <c:v>基本支出</c:v>
                </c:pt>
                <c:pt idx="1">
                  <c:v>项目支出</c:v>
                </c:pt>
              </c:strCache>
            </c:strRef>
          </c:cat>
          <c:val>
            <c:numRef>
              <c:f>'[工作簿1 (自动保存的).xlsx]结构分析'!$B$14:$B$15</c:f>
              <c:numCache>
                <c:formatCode>#,##0.00</c:formatCode>
                <c:ptCount val="2"/>
                <c:pt idx="0">
                  <c:v>7485.18</c:v>
                </c:pt>
                <c:pt idx="1">
                  <c:v>7068.22</c:v>
                </c:pt>
              </c:numCache>
            </c:numRef>
          </c:val>
        </c:ser>
        <c:dLbls>
          <c:showLegendKey val="0"/>
          <c:showVal val="0"/>
          <c:showCatName val="0"/>
          <c:showSerName val="0"/>
          <c:showPercent val="0"/>
          <c:showBubbleSize val="0"/>
          <c:showLeaderLines val="1"/>
        </c:dLbls>
        <c:firstSliceAng val="0"/>
      </c:pieChart>
    </c:plotArea>
    <c:legend>
      <c:legendPos val="r"/>
      <c:legendEntry>
        <c:idx val="0"/>
        <c:txPr>
          <a:bodyPr rot="0" spcFirstLastPara="0" vertOverflow="ellipsis" vert="horz" wrap="square" anchor="ctr" anchorCtr="1"/>
          <a:lstStyle/>
          <a:p>
            <a:pPr>
              <a:defRPr lang="zh-CN" sz="1200" b="0" i="0" u="none" strike="noStrike" kern="1200" baseline="0">
                <a:solidFill>
                  <a:srgbClr val="000000"/>
                </a:solidFill>
                <a:latin typeface="+mn-lt"/>
                <a:ea typeface="+mn-ea"/>
                <a:cs typeface="+mn-cs"/>
              </a:defRPr>
            </a:pPr>
          </a:p>
        </c:txPr>
      </c:legendEntry>
      <c:legendEntry>
        <c:idx val="1"/>
        <c:txPr>
          <a:bodyPr rot="0" spcFirstLastPara="0" vertOverflow="ellipsis" vert="horz" wrap="square" anchor="ctr" anchorCtr="1"/>
          <a:lstStyle/>
          <a:p>
            <a:pPr>
              <a:defRPr lang="zh-CN" sz="1200" b="0" i="0" u="none" strike="noStrike" kern="1200" baseline="0">
                <a:solidFill>
                  <a:srgbClr val="000000"/>
                </a:solidFill>
                <a:latin typeface="+mn-lt"/>
                <a:ea typeface="+mn-ea"/>
                <a:cs typeface="+mn-cs"/>
              </a:defRPr>
            </a:pPr>
          </a:p>
        </c:txPr>
      </c:legendEntry>
      <c:layout>
        <c:manualLayout>
          <c:xMode val="edge"/>
          <c:yMode val="edge"/>
          <c:x val="0.621371888248723"/>
          <c:y val="0.462450592885375"/>
          <c:w val="0.186650722904664"/>
          <c:h val="0.285375494071146"/>
        </c:manualLayout>
      </c:layout>
      <c:overlay val="0"/>
      <c:txPr>
        <a:bodyPr rot="0" spcFirstLastPara="0" vertOverflow="ellipsis" vert="horz" wrap="square" anchor="ctr" anchorCtr="1"/>
        <a:lstStyle/>
        <a:p>
          <a:pPr>
            <a:defRPr lang="zh-CN" sz="1200" b="0" i="0" u="none" strike="noStrike" kern="1200" baseline="0">
              <a:solidFill>
                <a:srgbClr val="000000"/>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solidFill>
                  <a:sysClr val="windowText" lastClr="000000"/>
                </a:solidFill>
              </a:rPr>
              <a:t>收、支决算总计变动情况图</a:t>
            </a:r>
            <a:endParaRPr b="1">
              <a:solidFill>
                <a:sysClr val="windowText" lastClr="000000"/>
              </a:solidFill>
            </a:endParaRPr>
          </a:p>
        </c:rich>
      </c:tx>
      <c:layout/>
      <c:overlay val="0"/>
      <c:spPr>
        <a:noFill/>
        <a:ln>
          <a:noFill/>
        </a:ln>
        <a:effectLst/>
      </c:spPr>
    </c:title>
    <c:autoTitleDeleted val="0"/>
    <c:plotArea>
      <c:layout/>
      <c:barChart>
        <c:barDir val="col"/>
        <c:grouping val="clustered"/>
        <c:varyColors val="0"/>
        <c:ser>
          <c:idx val="0"/>
          <c:order val="0"/>
          <c:tx>
            <c:strRef>
              <c:f>[生成图表.xlsx]Sheet4!$B$47</c:f>
              <c:strCache>
                <c:ptCount val="1"/>
                <c:pt idx="0">
                  <c:v>2019年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numRef>
              <c:f>[生成图表.xlsx]Sheet4!$C$45:$C$46</c:f>
              <c:numCache>
                <c:formatCode>General</c:formatCode>
                <c:ptCount val="2"/>
              </c:numCache>
            </c:numRef>
          </c:cat>
          <c:val>
            <c:numRef>
              <c:f>[生成图表.xlsx]Sheet4!$C$47</c:f>
              <c:numCache>
                <c:formatCode>#,##0.00_ </c:formatCode>
                <c:ptCount val="1"/>
                <c:pt idx="0">
                  <c:v>14575.12</c:v>
                </c:pt>
              </c:numCache>
            </c:numRef>
          </c:val>
        </c:ser>
        <c:ser>
          <c:idx val="1"/>
          <c:order val="1"/>
          <c:tx>
            <c:strRef>
              <c:f>[生成图表.xlsx]Sheet4!$B$48</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numRef>
              <c:f>[生成图表.xlsx]Sheet4!$C$45:$C$46</c:f>
              <c:numCache>
                <c:formatCode>General</c:formatCode>
                <c:ptCount val="2"/>
              </c:numCache>
            </c:numRef>
          </c:cat>
          <c:val>
            <c:numRef>
              <c:f>[生成图表.xlsx]Sheet4!$C$48</c:f>
              <c:numCache>
                <c:formatCode>#,##0.00_ </c:formatCode>
                <c:ptCount val="1"/>
                <c:pt idx="0">
                  <c:v>13437.29</c:v>
                </c:pt>
              </c:numCache>
            </c:numRef>
          </c:val>
        </c:ser>
        <c:dLbls>
          <c:showLegendKey val="0"/>
          <c:showVal val="1"/>
          <c:showCatName val="0"/>
          <c:showSerName val="0"/>
          <c:showPercent val="0"/>
          <c:showBubbleSize val="0"/>
        </c:dLbls>
        <c:gapWidth val="219"/>
        <c:overlap val="-27"/>
        <c:axId val="869464569"/>
        <c:axId val="833643263"/>
      </c:barChart>
      <c:catAx>
        <c:axId val="86946456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3643263"/>
        <c:crosses val="autoZero"/>
        <c:auto val="1"/>
        <c:lblAlgn val="ctr"/>
        <c:lblOffset val="100"/>
        <c:noMultiLvlLbl val="0"/>
      </c:catAx>
      <c:valAx>
        <c:axId val="833643263"/>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946456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zh-CN" b="1">
                <a:solidFill>
                  <a:sysClr val="windowText" lastClr="000000"/>
                </a:solidFill>
              </a:rPr>
              <a:t>一般公共预算财政拨款支出决算变动情况</a:t>
            </a:r>
            <a:endParaRPr altLang="zh-CN" b="1">
              <a:solidFill>
                <a:sysClr val="windowText" lastClr="000000"/>
              </a:solidFill>
            </a:endParaRPr>
          </a:p>
        </c:rich>
      </c:tx>
      <c:layout>
        <c:manualLayout>
          <c:xMode val="edge"/>
          <c:yMode val="edge"/>
          <c:x val="0.176802284082798"/>
          <c:y val="0.0256410256410256"/>
        </c:manualLayout>
      </c:layout>
      <c:overlay val="0"/>
      <c:spPr>
        <a:noFill/>
        <a:ln>
          <a:noFill/>
        </a:ln>
        <a:effectLst/>
      </c:spPr>
    </c:title>
    <c:autoTitleDeleted val="0"/>
    <c:plotArea>
      <c:layout/>
      <c:barChart>
        <c:barDir val="col"/>
        <c:grouping val="clustered"/>
        <c:varyColors val="0"/>
        <c:ser>
          <c:idx val="0"/>
          <c:order val="0"/>
          <c:tx>
            <c:strRef>
              <c:f>[生成图表.xlsx]Sheet4!$B$47</c:f>
              <c:strCache>
                <c:ptCount val="1"/>
                <c:pt idx="0">
                  <c:v>2019年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numRef>
              <c:f>[生成图表.xlsx]Sheet4!$C$45:$C$46</c:f>
              <c:numCache>
                <c:formatCode>General</c:formatCode>
                <c:ptCount val="2"/>
              </c:numCache>
            </c:numRef>
          </c:cat>
          <c:val>
            <c:numRef>
              <c:f>[生成图表.xlsx]Sheet4!$C$47</c:f>
              <c:numCache>
                <c:formatCode>#,##0.00_ </c:formatCode>
                <c:ptCount val="1"/>
                <c:pt idx="0">
                  <c:v>14575.12</c:v>
                </c:pt>
              </c:numCache>
            </c:numRef>
          </c:val>
        </c:ser>
        <c:ser>
          <c:idx val="1"/>
          <c:order val="1"/>
          <c:tx>
            <c:strRef>
              <c:f>[生成图表.xlsx]Sheet4!$B$48</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numRef>
              <c:f>[生成图表.xlsx]Sheet4!$C$45:$C$46</c:f>
              <c:numCache>
                <c:formatCode>General</c:formatCode>
                <c:ptCount val="2"/>
              </c:numCache>
            </c:numRef>
          </c:cat>
          <c:val>
            <c:numRef>
              <c:f>[生成图表.xlsx]Sheet4!$C$48</c:f>
              <c:numCache>
                <c:formatCode>#,##0.00_ </c:formatCode>
                <c:ptCount val="1"/>
                <c:pt idx="0">
                  <c:v>13437.29</c:v>
                </c:pt>
              </c:numCache>
            </c:numRef>
          </c:val>
        </c:ser>
        <c:dLbls>
          <c:showLegendKey val="0"/>
          <c:showVal val="1"/>
          <c:showCatName val="0"/>
          <c:showSerName val="0"/>
          <c:showPercent val="0"/>
          <c:showBubbleSize val="0"/>
        </c:dLbls>
        <c:gapWidth val="219"/>
        <c:overlap val="-27"/>
        <c:axId val="869464569"/>
        <c:axId val="833643263"/>
      </c:barChart>
      <c:catAx>
        <c:axId val="86946456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3643263"/>
        <c:crosses val="autoZero"/>
        <c:auto val="1"/>
        <c:lblAlgn val="ctr"/>
        <c:lblOffset val="100"/>
        <c:noMultiLvlLbl val="0"/>
      </c:catAx>
      <c:valAx>
        <c:axId val="833643263"/>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946456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600"/>
              <a:t>一般公共预算财政拨款支出决算结构 </a:t>
            </a:r>
            <a:endParaRPr lang="zh-CN" altLang="en-US" sz="1600"/>
          </a:p>
        </c:rich>
      </c:tx>
      <c:layout/>
      <c:overlay val="0"/>
    </c:title>
    <c:autoTitleDeleted val="0"/>
    <c:plotArea>
      <c:layout/>
      <c:pieChart>
        <c:varyColors val="1"/>
        <c:ser>
          <c:idx val="0"/>
          <c:order val="0"/>
          <c:tx>
            <c:strRef>
              <c:f>'[生成图表.xlsx]结构分析 (2)'!$B$17:$B$18</c:f>
              <c:strCache>
                <c:ptCount val="1"/>
                <c:pt idx="0">
                  <c:v>本年支出按功能科目构成图 金额</c:v>
                </c:pt>
              </c:strCache>
            </c:strRef>
          </c:tx>
          <c:explosion val="0"/>
          <c:dPt>
            <c:idx val="0"/>
            <c:bubble3D val="0"/>
          </c:dPt>
          <c:dPt>
            <c:idx val="1"/>
            <c:bubble3D val="0"/>
          </c:dPt>
          <c:dPt>
            <c:idx val="2"/>
            <c:bubble3D val="0"/>
          </c:dPt>
          <c:dPt>
            <c:idx val="3"/>
            <c:bubble3D val="0"/>
          </c:dPt>
          <c:dPt>
            <c:idx val="4"/>
            <c:bubble3D val="0"/>
          </c:dPt>
          <c:dLbls>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'[生成图表.xlsx]结构分析 (2)'!$A$19:$A$23</c:f>
              <c:strCache>
                <c:ptCount val="5"/>
                <c:pt idx="0">
                  <c:v>一般公共服务支出</c:v>
                </c:pt>
                <c:pt idx="1">
                  <c:v>教育支出</c:v>
                </c:pt>
                <c:pt idx="2">
                  <c:v>社会保障和就业支出</c:v>
                </c:pt>
                <c:pt idx="3">
                  <c:v>卫生健康支出</c:v>
                </c:pt>
                <c:pt idx="4">
                  <c:v>住房保障支出</c:v>
                </c:pt>
              </c:strCache>
            </c:strRef>
          </c:cat>
          <c:val>
            <c:numRef>
              <c:f>'[生成图表.xlsx]结构分析 (2)'!$B$19:$B$23</c:f>
              <c:numCache>
                <c:formatCode>#,##0.00</c:formatCode>
                <c:ptCount val="5"/>
                <c:pt idx="0">
                  <c:v>11031.79</c:v>
                </c:pt>
                <c:pt idx="1">
                  <c:v>11.26</c:v>
                </c:pt>
                <c:pt idx="2">
                  <c:v>1214.64</c:v>
                </c:pt>
                <c:pt idx="3">
                  <c:v>400.51</c:v>
                </c:pt>
                <c:pt idx="4">
                  <c:v>779.11</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ysClr val="windowText" lastClr="000000"/>
                </a:solidFill>
                <a:latin typeface="+mn-lt"/>
                <a:ea typeface="+mn-ea"/>
                <a:cs typeface="+mn-cs"/>
              </a:defRPr>
            </a:pPr>
            <a:r>
              <a:rPr lang="en-US" altLang="zh-CN" b="1">
                <a:solidFill>
                  <a:sysClr val="windowText" lastClr="000000"/>
                </a:solidFill>
              </a:rPr>
              <a:t>“</a:t>
            </a:r>
            <a:r>
              <a:rPr altLang="en-US" b="1">
                <a:solidFill>
                  <a:sysClr val="windowText" lastClr="000000"/>
                </a:solidFill>
              </a:rPr>
              <a:t>三公</a:t>
            </a:r>
            <a:r>
              <a:rPr lang="en-US" altLang="zh-CN" b="1">
                <a:solidFill>
                  <a:sysClr val="windowText" lastClr="000000"/>
                </a:solidFill>
              </a:rPr>
              <a:t>”</a:t>
            </a:r>
            <a:r>
              <a:rPr altLang="en-US" b="1">
                <a:solidFill>
                  <a:sysClr val="windowText" lastClr="000000"/>
                </a:solidFill>
              </a:rPr>
              <a:t>经费财政拨款支出结构</a:t>
            </a:r>
            <a:endParaRPr altLang="en-US" b="1">
              <a:solidFill>
                <a:sysClr val="windowText" lastClr="000000"/>
              </a:solidFill>
            </a:endParaRP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[生成图表.xlsx]Sheet4!$A$1:$A$3</c:f>
              <c:strCache>
                <c:ptCount val="3"/>
                <c:pt idx="0">
                  <c:v>公车购置及运维</c:v>
                </c:pt>
                <c:pt idx="1">
                  <c:v>公务接待</c:v>
                </c:pt>
                <c:pt idx="2">
                  <c:v>因公出国（境）</c:v>
                </c:pt>
              </c:strCache>
            </c:strRef>
          </c:cat>
          <c:val>
            <c:numRef>
              <c:f>[生成图表.xlsx]Sheet4!$B$1:$B$3</c:f>
              <c:numCache>
                <c:formatCode>#,##0.00_ </c:formatCode>
                <c:ptCount val="3"/>
                <c:pt idx="0">
                  <c:v>141.72</c:v>
                </c:pt>
                <c:pt idx="1">
                  <c:v>2.69</c:v>
                </c:pt>
                <c:pt idx="2" c:formatCode="General">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2"/>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ysClr val="windowText" lastClr="000000"/>
          </a:solidFill>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0.776388888888889</cdr:x>
      <cdr:y>0.0601851851851852</cdr:y>
    </cdr:from>
    <cdr:to>
      <cdr:x>0.976388888888889</cdr:x>
      <cdr:y>0.153935185185185</cdr:y>
    </cdr:to>
    <cdr:sp>
      <cdr:nvSpPr>
        <cdr:cNvPr id="2" name="矩形 1"/>
        <cdr:cNvSpPr/>
      </cdr:nvSpPr>
      <cdr:spPr xmlns:a="http://schemas.openxmlformats.org/drawingml/2006/main">
        <a:xfrm xmlns:a="http://schemas.openxmlformats.org/drawingml/2006/main">
          <a:off x="3549650" y="165100"/>
          <a:ext cx="914400" cy="257175"/>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p>
          <a:endParaRPr lang="zh-CN" altLang="en-US"/>
        </a:p>
      </cdr:txBody>
    </cdr:sp>
  </cdr:relSizeAnchor>
</c:userShapes>
</file>

<file path=word/drawings/drawing2.xml><?xml version="1.0" encoding="utf-8"?>
<c:userShapes xmlns:c="http://schemas.openxmlformats.org/drawingml/2006/chart">
  <cdr:relSizeAnchor xmlns:cdr="http://schemas.openxmlformats.org/drawingml/2006/chartDrawing">
    <cdr:from>
      <cdr:x>0.776388888888889</cdr:x>
      <cdr:y>0.0601851851851852</cdr:y>
    </cdr:from>
    <cdr:to>
      <cdr:x>0.976388888888889</cdr:x>
      <cdr:y>0.153935185185185</cdr:y>
    </cdr:to>
    <cdr:sp>
      <cdr:nvSpPr>
        <cdr:cNvPr id="2" name="矩形 1"/>
        <cdr:cNvSpPr/>
      </cdr:nvSpPr>
      <cdr:spPr xmlns:a="http://schemas.openxmlformats.org/drawingml/2006/main">
        <a:xfrm xmlns:a="http://schemas.openxmlformats.org/drawingml/2006/main">
          <a:off x="3549650" y="165100"/>
          <a:ext cx="914400" cy="257175"/>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p>
          <a:endParaRPr lang="zh-CN" altLang="en-US"/>
        </a:p>
      </cdr:txBody>
    </cdr:sp>
  </cdr:relSizeAnchor>
</c:userShapes>
</file>

<file path=word/drawings/drawing3.xml><?xml version="1.0" encoding="utf-8"?>
<c:userShapes xmlns:c="http://schemas.openxmlformats.org/drawingml/2006/chart">
  <cdr:relSizeAnchor xmlns:cdr="http://schemas.openxmlformats.org/drawingml/2006/chartDrawing">
    <cdr:from>
      <cdr:x>0.776388888888889</cdr:x>
      <cdr:y>0.0601851851851852</cdr:y>
    </cdr:from>
    <cdr:to>
      <cdr:x>0.976388888888889</cdr:x>
      <cdr:y>0.153935185185185</cdr:y>
    </cdr:to>
    <cdr:sp>
      <cdr:nvSpPr>
        <cdr:cNvPr id="2" name="矩形 1"/>
        <cdr:cNvSpPr/>
      </cdr:nvSpPr>
      <cdr:spPr xmlns:a="http://schemas.openxmlformats.org/drawingml/2006/main">
        <a:xfrm xmlns:a="http://schemas.openxmlformats.org/drawingml/2006/main">
          <a:off x="3549650" y="165100"/>
          <a:ext cx="914400" cy="257175"/>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p>
          <a:endParaRPr lang="zh-CN" alt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CC7602-F64C-4C8E-92A1-821E23A4E59B}">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1</TotalTime>
  <ScaleCrop>false</ScaleCrop>
  <LinksUpToDate>false</LinksUpToDate>
  <CharactersWithSpaces>8692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PC-user</cp:lastModifiedBy>
  <cp:lastPrinted>2021-08-30T04:05:00Z</cp:lastPrinted>
  <dcterms:modified xsi:type="dcterms:W3CDTF">2021-09-01T08:15:27Z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FAD7426EFBE04EF8A8901CF30F24BF1F</vt:lpwstr>
  </property>
</Properties>
</file>