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四川人大网改版升级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建设方案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及报价表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项目概述</w:t>
      </w:r>
    </w:p>
    <w:p>
      <w:pPr>
        <w:pStyle w:val="2"/>
        <w:numPr>
          <w:ilvl w:val="0"/>
          <w:numId w:val="0"/>
        </w:numPr>
        <w:ind w:firstLine="42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对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现有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四川人大官网进行视觉设计、技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术体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系、智能技术等多维度升级建设，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强化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应用及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安全基础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，紧跟互联网智能化趋势，构建一个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高效、互动、安全的新型政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平台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，全面提升人大工作的信息化水平，增强民众参与度，推动民主政治进程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二、技术服务要求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1、官网设计及模板制作（PC和WAP）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1）对新版官网重新设计，提升阅读体验，设计要求：PC端采用1400px，体现人大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形象与权威性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、设计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简洁直观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、首页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导航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清晰、设计能体现地域文化；整体用户体验佳、操作方便直观；手机端设计风格保持与PC端一致，采用响应式布局设计。</w:t>
      </w:r>
    </w:p>
    <w:p>
      <w:pPr>
        <w:bidi w:val="0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2）基于确认的PC和手机端设计进行模板，前端工程师构建代码框架，实施技术实现及对SEO优化，以保证文章的正常搜录。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注：PC端栏目以现有网站栏目结构为准，可以适应参照全国其他人大官网进行栏目设计，以体现对业务的理解能力；</w:t>
      </w:r>
      <w:r>
        <w:rPr>
          <w:rFonts w:hint="eastAsia" w:ascii="仿宋" w:hAnsi="仿宋" w:eastAsia="仿宋" w:cs="仿宋"/>
          <w:sz w:val="28"/>
          <w:szCs w:val="28"/>
        </w:rPr>
        <w:t>手机端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</w:t>
      </w:r>
      <w:r>
        <w:rPr>
          <w:rFonts w:hint="eastAsia" w:ascii="仿宋" w:hAnsi="仿宋" w:eastAsia="仿宋" w:cs="仿宋"/>
          <w:sz w:val="28"/>
          <w:szCs w:val="28"/>
        </w:rPr>
        <w:t>呈现重要栏目，将PC网站的众多呈现，精简重要栏目加入手机版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网站内容管理系统</w:t>
      </w:r>
    </w:p>
    <w:p>
      <w:p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提供网站内容管理系统，安全技术架构，实现对文字、图片、视频的上传、编辑、修改、发布、删除的基础编辑工作；同时支持权限分级、敏感词过滤、SEO标签、一篇多发、可视化编辑、单篇稿件多模块技术等功能。</w:t>
      </w:r>
    </w:p>
    <w:p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网站重架构及迁移</w:t>
      </w:r>
    </w:p>
    <w:p>
      <w:pPr>
        <w:ind w:firstLine="420" w:firstLineChars="0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ar-SA"/>
        </w:rPr>
        <w:t>重新规划网站技术架构，增强项目安全稳定，包括：网站技术响应架构、服务器分配、目录结构、数据库设计等；并且对原网站进行数据迁移，保障原有内容能入库及发布。</w:t>
      </w: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ar-SA"/>
        </w:rPr>
        <w:t>官网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手机版</w:t>
      </w:r>
    </w:p>
    <w:p>
      <w:pPr>
        <w:pStyle w:val="3"/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提供官网手机版本，系统平台支持同稿不同URL技术，来源自动识别进行相应版本；WAP版保持与PC版栏目内容一致无需要重建；配合建立微信公众号栏目，保持与PC版一致，做到一稿更新多端同步和分享。</w:t>
      </w:r>
    </w:p>
    <w:p>
      <w:pPr>
        <w:pStyle w:val="3"/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虚拟数字人建设</w:t>
      </w:r>
    </w:p>
    <w:p>
      <w:pPr>
        <w:pStyle w:val="3"/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提供真人分身技术，复刻真人动作、声音，打造一个官方数字人，并配套提供数字人内容生产平台，为官网后期节目访谈或视频提供能力支撑；同时为官网有关数字人视频内容提供技术和平台支撑。</w:t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6、人大代表档案</w:t>
      </w:r>
    </w:p>
    <w:p>
      <w:pPr>
        <w:pStyle w:val="3"/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提供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定向数据采集、分类标引、智能识别、模型训练等技术，为人大代表提供个人专属主页，汇集公开的有关报道、材料、档案、图片及视频等，增强透明度与公众监督，拉近代表与民众距离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、商务要求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服务期限：合同签订后60日历天。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服务地点：人民权力报社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实力证明：请提供软著、专利等能力证明。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四、四川人大网改版升级报价表</w:t>
      </w:r>
    </w:p>
    <w:tbl>
      <w:tblPr>
        <w:tblStyle w:val="4"/>
        <w:tblpPr w:leftFromText="180" w:rightFromText="180" w:vertAnchor="text" w:horzAnchor="page" w:tblpX="1024" w:tblpY="616"/>
        <w:tblOverlap w:val="never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86"/>
        <w:gridCol w:w="563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05" w:type="dxa"/>
            <w:shd w:val="clear" w:color="auto" w:fill="B5C7EA" w:themeFill="accent1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shd w:val="clear" w:color="auto" w:fill="B5C7EA" w:themeFill="accent1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报价名称</w:t>
            </w:r>
          </w:p>
        </w:tc>
        <w:tc>
          <w:tcPr>
            <w:tcW w:w="5632" w:type="dxa"/>
            <w:shd w:val="clear" w:color="auto" w:fill="B5C7EA" w:themeFill="accent1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需求响应情况</w:t>
            </w:r>
          </w:p>
        </w:tc>
        <w:tc>
          <w:tcPr>
            <w:tcW w:w="1609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官网设计及模板制作（PC和WAP）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网站内容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管理系统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ind w:firstLine="42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网站重架构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及迁移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>
            <w:pPr>
              <w:ind w:firstLine="42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官网手机版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（WAP）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虚拟数字人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人大代表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5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132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  报价合计：           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4A547"/>
    <w:multiLevelType w:val="singleLevel"/>
    <w:tmpl w:val="8754A5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CB7C8A"/>
    <w:multiLevelType w:val="singleLevel"/>
    <w:tmpl w:val="BFCB7C8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0CD56EE"/>
    <w:multiLevelType w:val="singleLevel"/>
    <w:tmpl w:val="C0CD56E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YWZiN2E3YjBjZGQ0NGI4ODMwNWNhYzY3Y2Y5YzYifQ=="/>
  </w:docVars>
  <w:rsids>
    <w:rsidRoot w:val="297E72C1"/>
    <w:rsid w:val="01FB7580"/>
    <w:rsid w:val="177B2F13"/>
    <w:rsid w:val="297E72C1"/>
    <w:rsid w:val="62F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1682</Characters>
  <Lines>0</Lines>
  <Paragraphs>0</Paragraphs>
  <TotalTime>3</TotalTime>
  <ScaleCrop>false</ScaleCrop>
  <LinksUpToDate>false</LinksUpToDate>
  <CharactersWithSpaces>1715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2024-09-03T07:35:00Z</dcterms:created>
  <dc:creator>英子</dc:creator>
  <cp:lastModifiedBy>ViVi</cp:lastModifiedBy>
  <dcterms:modified xsi:type="dcterms:W3CDTF">2024-09-04T07:07:05Z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FCEBE54BA5D04BB88876B8593477BE7F_13</vt:lpwstr>
  </property>
</Properties>
</file>