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00" w:lineRule="exact"/>
        <w:jc w:val="left"/>
        <w:rPr>
          <w:rFonts w:ascii="Times New Roman" w:hAnsi="Times New Roman" w:eastAsia="方正黑体简体"/>
          <w:b/>
          <w:bCs/>
          <w:sz w:val="32"/>
          <w:szCs w:val="32"/>
        </w:rPr>
      </w:pPr>
      <w:r>
        <w:rPr>
          <w:rFonts w:ascii="Times New Roman" w:hAnsi="Times New Roman" w:eastAsia="方正黑体简体"/>
          <w:b/>
          <w:bCs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600" w:lineRule="exact"/>
        <w:jc w:val="left"/>
        <w:rPr>
          <w:rFonts w:ascii="Times New Roman" w:hAnsi="Times New Roman" w:eastAsia="方正黑体简体"/>
          <w:b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  <w:shd w:val="clear" w:color="auto" w:fill="FFFFFF"/>
        </w:rPr>
        <w:fldChar w:fldCharType="begin"/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  <w:shd w:val="clear" w:color="auto" w:fill="FFFFFF"/>
        </w:rPr>
        <w:instrText xml:space="preserve"> HYPERLINK "http://www.npc.gov.cn/npc/c2/c30834/202302/W020230907673936380193.doc" \t "/home/scrd/文档\\x/_blank" </w:instrTex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  <w:shd w:val="clear" w:color="auto" w:fill="FFFFFF"/>
        </w:rPr>
        <w:fldChar w:fldCharType="separate"/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  <w:shd w:val="clear" w:color="auto" w:fill="FFFFFF"/>
        </w:rPr>
        <w:t>四川省人大制度研究会2023-2024年课题指南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  <w:shd w:val="clear" w:color="auto" w:fill="FFFFFF"/>
        </w:rPr>
        <w:fldChar w:fldCharType="end"/>
      </w:r>
    </w:p>
    <w:p>
      <w:pPr>
        <w:pStyle w:val="6"/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pStyle w:val="6"/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kern w:val="2"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1.</w:t>
      </w:r>
      <w:r>
        <w:rPr>
          <w:rFonts w:ascii="Times New Roman" w:hAnsi="Times New Roman" w:eastAsia="方正仿宋简体"/>
          <w:b/>
          <w:bCs/>
          <w:kern w:val="2"/>
          <w:sz w:val="32"/>
          <w:szCs w:val="32"/>
        </w:rPr>
        <w:t>加强和改进新时代地方人大工作研究</w:t>
      </w:r>
    </w:p>
    <w:p>
      <w:pPr>
        <w:pStyle w:val="6"/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2.人大协商与基层协商有效衔接的机制与途径研究</w:t>
      </w:r>
    </w:p>
    <w:p>
      <w:pPr>
        <w:pStyle w:val="6"/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3.人大常委会街道工委工作研究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4.在园区、新区、经开区开展人大工作和建设研究</w:t>
      </w:r>
    </w:p>
    <w:p>
      <w:pPr>
        <w:pStyle w:val="6"/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5构建上下级人大工作联动机制研究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6.地方人大践行和发展全过程人民民主研究</w:t>
      </w:r>
    </w:p>
    <w:p>
      <w:pPr>
        <w:overflowPunct w:val="0"/>
        <w:adjustRightInd w:val="0"/>
        <w:snapToGrid w:val="0"/>
        <w:spacing w:line="600" w:lineRule="exact"/>
        <w:ind w:firstLine="611" w:firstLineChars="200"/>
        <w:rPr>
          <w:rFonts w:ascii="Times New Roman" w:hAnsi="Times New Roman" w:eastAsia="方正仿宋简体"/>
          <w:b/>
          <w:bCs/>
          <w:w w:val="95"/>
          <w:sz w:val="32"/>
          <w:szCs w:val="32"/>
        </w:rPr>
      </w:pPr>
      <w:r>
        <w:rPr>
          <w:rFonts w:ascii="Times New Roman" w:hAnsi="Times New Roman" w:eastAsia="方正仿宋简体"/>
          <w:b/>
          <w:bCs/>
          <w:w w:val="95"/>
          <w:sz w:val="32"/>
          <w:szCs w:val="32"/>
        </w:rPr>
        <w:t>7.数字时代公民网络参与对地方人大工作的影响研究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黑体简体"/>
          <w:b/>
          <w:bCs/>
          <w:kern w:val="0"/>
          <w:sz w:val="32"/>
          <w:szCs w:val="32"/>
        </w:rPr>
        <w:t>8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.川渝协同开展法律援助立法问题研究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9.成渝地区双城经济圈的区域协同立法研究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10.完善基层立法联系点制度研究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11.建构民族自治立法审查标准研究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12.完善治理校园周边环境法律法规研究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13.设区的市立法实效性问题研究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14.地方性法规贯彻实施有关问题研究</w:t>
      </w:r>
    </w:p>
    <w:p>
      <w:pPr>
        <w:pStyle w:val="2"/>
        <w:overflowPunct w:val="0"/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15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.地方人大备案审查工作研究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16.企业破产重组涉税政策优化研究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17.强化约束机制建设防范化解地方政府债务风险有关问题研究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18.人大预算审查监督工作研究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19.地方人大常委会开展任后监督有关问题研究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黑体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20.乡镇人大财经监督规范化建设研究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21.发挥人大代表作用研究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jc w:val="left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22.发挥人大代表“家站”作用研究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jc w:val="left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23.民生实事项目人大代表票决制研究</w:t>
      </w:r>
    </w:p>
    <w:p>
      <w:pPr>
        <w:overflowPunct w:val="0"/>
        <w:adjustRightInd w:val="0"/>
        <w:snapToGrid w:val="0"/>
        <w:spacing w:line="600" w:lineRule="exact"/>
        <w:ind w:firstLine="619" w:firstLineChars="200"/>
        <w:jc w:val="left"/>
        <w:rPr>
          <w:rFonts w:ascii="Times New Roman" w:hAnsi="Times New Roman" w:eastAsia="方正仿宋简体"/>
          <w:b/>
          <w:bCs/>
          <w:spacing w:val="-6"/>
          <w:sz w:val="32"/>
          <w:szCs w:val="32"/>
        </w:rPr>
      </w:pPr>
      <w:r>
        <w:rPr>
          <w:rFonts w:ascii="Times New Roman" w:hAnsi="Times New Roman" w:eastAsia="方正仿宋简体"/>
          <w:b/>
          <w:bCs/>
          <w:spacing w:val="-6"/>
          <w:sz w:val="32"/>
          <w:szCs w:val="32"/>
        </w:rPr>
        <w:t>24.县乡人大换届选举有关问题研究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25.地方人大工作的特点和规律研究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26.人大信息化数字化智能化建设研究</w:t>
      </w:r>
    </w:p>
    <w:p>
      <w:pPr>
        <w:pStyle w:val="6"/>
        <w:overflowPunct w:val="0"/>
        <w:adjustRightInd w:val="0"/>
        <w:snapToGrid w:val="0"/>
        <w:spacing w:line="600" w:lineRule="exact"/>
        <w:ind w:firstLine="701"/>
        <w:rPr>
          <w:rFonts w:ascii="Times New Roman" w:hAnsi="Times New Roman" w:eastAsia="方正仿宋简体"/>
          <w:b/>
          <w:bCs/>
          <w:w w:val="95"/>
          <w:sz w:val="32"/>
          <w:szCs w:val="32"/>
        </w:rPr>
      </w:pPr>
      <w:r>
        <w:rPr>
          <w:rFonts w:ascii="Times New Roman" w:hAnsi="Times New Roman" w:eastAsia="方正仿宋简体"/>
          <w:b/>
          <w:bCs/>
          <w:w w:val="95"/>
          <w:sz w:val="32"/>
          <w:szCs w:val="32"/>
        </w:rPr>
        <w:t>27.人大助力写好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中国式现</w:t>
      </w:r>
      <w:r>
        <w:rPr>
          <w:rFonts w:ascii="Times New Roman" w:hAnsi="Times New Roman" w:eastAsia="方正仿宋简体"/>
          <w:b/>
          <w:bCs/>
          <w:w w:val="95"/>
          <w:sz w:val="32"/>
          <w:szCs w:val="32"/>
        </w:rPr>
        <w:t>代化四川篇章研究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28.“我为群众办实事”实践活动研究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29.强化司法保护推动构建预防性侵未成年人犯罪共治格局研究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30.深化农村宅基地制度改革赋予农民更加充分的财产权益问题研究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31.深化拓展人大对外工作制度机制研究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32.加强和改进四川侨务工作研究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33.推动台胞列席人大会议相关问题研究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34.推动四川制造业高质量发展研究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35.四川省“一老一幼”服务工作研究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36.民族互嵌式社会结构和社区环境建设研究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37.四川省川剧保护传承研究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38.四川省房地产行业高质量发展研究</w:t>
      </w:r>
    </w:p>
    <w:p>
      <w:pPr>
        <w:pStyle w:val="6"/>
        <w:overflowPunct w:val="0"/>
        <w:adjustRightInd w:val="0"/>
        <w:snapToGrid w:val="0"/>
        <w:spacing w:line="600" w:lineRule="exact"/>
        <w:ind w:firstLine="701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39.省属金融企业风险监测和分析有关问题研究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40.对口帮扶助力乡村振兴和城乡融合发展研究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41.民族地区脱贫攻坚与乡村振兴有效衔接研究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42.推动省级新区高质量发展研究</w:t>
      </w:r>
    </w:p>
    <w:p>
      <w:pPr>
        <w:pStyle w:val="6"/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43.四川省职务科技成果权属混合所有制改革研究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44.四川省农田建设有关问题研究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45.提升农村住房质量安全研究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46.四川省社会保障卡一卡通服务管理研究</w:t>
      </w:r>
    </w:p>
    <w:p>
      <w:pPr>
        <w:overflowPunct w:val="0"/>
        <w:adjustRightInd w:val="0"/>
        <w:snapToGrid w:val="0"/>
        <w:spacing w:line="600" w:lineRule="exact"/>
        <w:ind w:firstLine="619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pacing w:val="-6"/>
          <w:sz w:val="32"/>
          <w:szCs w:val="32"/>
        </w:rPr>
        <w:t>47.脱贫地区特色产业高质量发展示范区建设研究</w:t>
      </w:r>
    </w:p>
    <w:p>
      <w:pPr>
        <w:pStyle w:val="2"/>
        <w:overflowPunct w:val="0"/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48.农村集体经济组织发展问题研究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49.高质量建设共同富裕试验区研究</w:t>
      </w:r>
    </w:p>
    <w:p>
      <w:pPr>
        <w:pStyle w:val="6"/>
        <w:overflowPunct w:val="0"/>
        <w:adjustRightInd w:val="0"/>
        <w:snapToGrid w:val="0"/>
        <w:spacing w:line="600" w:lineRule="exact"/>
        <w:ind w:firstLine="623" w:firstLineChars="200"/>
        <w:rPr>
          <w:rFonts w:ascii="Times New Roman" w:hAnsi="Times New Roman" w:eastAsia="方正仿宋简体"/>
          <w:b/>
          <w:bCs/>
          <w:w w:val="97"/>
          <w:sz w:val="32"/>
          <w:szCs w:val="32"/>
        </w:rPr>
      </w:pPr>
      <w:r>
        <w:rPr>
          <w:rFonts w:ascii="Times New Roman" w:hAnsi="Times New Roman" w:eastAsia="方正仿宋简体"/>
          <w:b/>
          <w:bCs/>
          <w:w w:val="97"/>
          <w:sz w:val="32"/>
          <w:szCs w:val="32"/>
        </w:rPr>
        <w:t>50.市县两级成立人大制度理论研究会有关问题研究</w:t>
      </w:r>
    </w:p>
    <w:p>
      <w:pPr>
        <w:spacing w:line="640" w:lineRule="exact"/>
        <w:rPr>
          <w:rFonts w:ascii="Times New Roman" w:hAnsi="Times New Roman" w:eastAsia="方正黑体简体"/>
          <w:b/>
          <w:bCs/>
          <w:sz w:val="36"/>
          <w:szCs w:val="36"/>
        </w:rPr>
      </w:pPr>
    </w:p>
    <w:p>
      <w:pPr>
        <w:spacing w:line="640" w:lineRule="exact"/>
        <w:rPr>
          <w:rFonts w:ascii="Times New Roman" w:hAnsi="Times New Roman" w:eastAsia="方正黑体简体"/>
          <w:b/>
          <w:bCs/>
          <w:sz w:val="36"/>
          <w:szCs w:val="36"/>
        </w:rPr>
      </w:pPr>
    </w:p>
    <w:p>
      <w:pPr>
        <w:spacing w:line="640" w:lineRule="exact"/>
        <w:rPr>
          <w:rFonts w:ascii="Times New Roman" w:hAnsi="Times New Roman" w:eastAsia="方正黑体简体"/>
          <w:b/>
          <w:bCs/>
          <w:sz w:val="36"/>
          <w:szCs w:val="36"/>
        </w:rPr>
      </w:pPr>
    </w:p>
    <w:p>
      <w:pPr>
        <w:spacing w:line="620" w:lineRule="exact"/>
        <w:rPr>
          <w:rFonts w:ascii="Times New Roman" w:hAnsi="Times New Roman" w:eastAsia="方正黑体简体"/>
          <w:b/>
          <w:bCs/>
          <w:sz w:val="36"/>
          <w:szCs w:val="36"/>
        </w:rPr>
      </w:pPr>
    </w:p>
    <w:p>
      <w:pPr>
        <w:spacing w:line="620" w:lineRule="exact"/>
        <w:rPr>
          <w:rFonts w:ascii="Times New Roman" w:hAnsi="Times New Roman" w:eastAsia="方正黑体简体"/>
          <w:b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NDE2OGE1NmQyZTRjNDcxZTJjZTA5ZDE5NDJjYmUifQ=="/>
  </w:docVars>
  <w:rsids>
    <w:rsidRoot w:val="45A312A1"/>
    <w:rsid w:val="45A3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Courier New" w:hAnsi="Courier New"/>
      <w:sz w:val="24"/>
    </w:rPr>
  </w:style>
  <w:style w:type="paragraph" w:customStyle="1" w:styleId="6">
    <w:name w:val="BodyText"/>
    <w:basedOn w:val="1"/>
    <w:qFormat/>
    <w:uiPriority w:val="0"/>
    <w:pPr>
      <w:spacing w:line="540" w:lineRule="exact"/>
      <w:textAlignment w:val="baseline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2024-06-24T15:50:00Z</dcterms:created>
  <dc:creator>ViVi</dc:creator>
  <cp:lastModifiedBy>ViVi</cp:lastModifiedBy>
  <dcterms:modified xsi:type="dcterms:W3CDTF">2024-06-24T15:50:59Z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135B1908A13D447E9616DB32AC4D626B_11</vt:lpwstr>
  </property>
</Properties>
</file>