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4699B7">
      <w:pPr>
        <w:keepLines w:val="0"/>
        <w:pageBreakBefore w:val="0"/>
        <w:kinsoku/>
        <w:wordWrap/>
        <w:topLinePunct w:val="0"/>
        <w:autoSpaceDE/>
        <w:autoSpaceDN/>
        <w:bidi w:val="0"/>
        <w:ind w:firstLine="723" w:firstLineChars="200"/>
        <w:jc w:val="left"/>
        <w:rPr>
          <w:rFonts w:hint="eastAsia" w:ascii="Times New Roman" w:hAnsi="Times New Roman" w:eastAsia="方正楷体简体" w:cs="Times New Roman"/>
          <w:b/>
          <w:bCs w:val="0"/>
          <w:color w:val="auto"/>
          <w:sz w:val="36"/>
          <w:szCs w:val="36"/>
          <w:highlight w:val="none"/>
          <w:lang w:eastAsia="zh-CN"/>
        </w:rPr>
      </w:pPr>
      <w:r>
        <w:rPr>
          <w:rFonts w:hint="eastAsia" w:ascii="Times New Roman" w:hAnsi="Times New Roman" w:eastAsia="方正楷体简体" w:cs="Times New Roman"/>
          <w:b/>
          <w:bCs w:val="0"/>
          <w:color w:val="auto"/>
          <w:sz w:val="36"/>
          <w:szCs w:val="36"/>
          <w:highlight w:val="none"/>
          <w:lang w:eastAsia="zh-CN"/>
        </w:rPr>
        <w:t>工作资料</w:t>
      </w:r>
    </w:p>
    <w:p w14:paraId="5387202E">
      <w:pPr>
        <w:keepLines w:val="0"/>
        <w:pageBreakBefore w:val="0"/>
        <w:kinsoku/>
        <w:wordWrap/>
        <w:topLinePunct w:val="0"/>
        <w:autoSpaceDE/>
        <w:autoSpaceDN/>
        <w:bidi w:val="0"/>
        <w:ind w:firstLine="723" w:firstLineChars="200"/>
        <w:jc w:val="left"/>
        <w:rPr>
          <w:rFonts w:hint="eastAsia" w:ascii="Times New Roman" w:hAnsi="Times New Roman" w:eastAsia="方正楷体简体" w:cs="Times New Roman"/>
          <w:b/>
          <w:bCs w:val="0"/>
          <w:color w:val="auto"/>
          <w:sz w:val="36"/>
          <w:szCs w:val="36"/>
          <w:highlight w:val="none"/>
          <w:lang w:eastAsia="zh-CN"/>
        </w:rPr>
      </w:pPr>
      <w:r>
        <w:rPr>
          <w:rFonts w:hint="eastAsia" w:ascii="Times New Roman" w:hAnsi="Times New Roman" w:eastAsia="方正楷体简体" w:cs="Times New Roman"/>
          <w:b/>
          <w:bCs w:val="0"/>
          <w:color w:val="auto"/>
          <w:sz w:val="36"/>
          <w:szCs w:val="36"/>
          <w:highlight w:val="none"/>
          <w:lang w:eastAsia="zh-CN"/>
        </w:rPr>
        <w:t>注意保存</w:t>
      </w:r>
    </w:p>
    <w:p w14:paraId="1D56C706">
      <w:pPr>
        <w:bidi w:val="0"/>
        <w:jc w:val="center"/>
        <w:outlineLvl w:val="9"/>
        <w:rPr>
          <w:rFonts w:hint="eastAsia" w:ascii="仿宋_GB2312" w:hAnsi="仿宋_GB2312" w:eastAsia="仿宋_GB2312" w:cs="仿宋_GB2312"/>
          <w:b w:val="0"/>
          <w:bCs/>
          <w:sz w:val="40"/>
          <w:szCs w:val="48"/>
        </w:rPr>
      </w:pPr>
    </w:p>
    <w:p w14:paraId="65850AA4">
      <w:pPr>
        <w:bidi w:val="0"/>
        <w:jc w:val="center"/>
        <w:outlineLvl w:val="9"/>
        <w:rPr>
          <w:rFonts w:hint="eastAsia" w:ascii="微软雅黑" w:hAnsi="微软雅黑" w:eastAsia="微软雅黑" w:cs="微软雅黑"/>
          <w:b w:val="0"/>
          <w:bCs/>
          <w:sz w:val="40"/>
          <w:szCs w:val="48"/>
        </w:rPr>
      </w:pPr>
    </w:p>
    <w:p w14:paraId="5B278664">
      <w:pPr>
        <w:bidi w:val="0"/>
        <w:jc w:val="center"/>
        <w:outlineLvl w:val="9"/>
        <w:rPr>
          <w:rFonts w:hint="eastAsia" w:ascii="微软雅黑" w:hAnsi="微软雅黑" w:eastAsia="微软雅黑" w:cs="微软雅黑"/>
          <w:b w:val="0"/>
          <w:bCs/>
          <w:sz w:val="40"/>
          <w:szCs w:val="48"/>
        </w:rPr>
      </w:pPr>
    </w:p>
    <w:p w14:paraId="357CD3DA">
      <w:pPr>
        <w:bidi w:val="0"/>
        <w:ind w:firstLine="800" w:firstLineChars="200"/>
        <w:jc w:val="both"/>
        <w:outlineLvl w:val="9"/>
        <w:rPr>
          <w:rFonts w:hint="eastAsia" w:ascii="微软雅黑" w:hAnsi="微软雅黑" w:eastAsia="微软雅黑" w:cs="微软雅黑"/>
          <w:b w:val="0"/>
          <w:bCs/>
          <w:sz w:val="40"/>
          <w:szCs w:val="48"/>
        </w:rPr>
      </w:pPr>
    </w:p>
    <w:p w14:paraId="0F1BF356">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方正小标宋简体" w:cs="Times New Roman"/>
          <w:b w:val="0"/>
          <w:bCs/>
          <w:color w:val="auto"/>
          <w:sz w:val="72"/>
          <w:szCs w:val="72"/>
          <w:highlight w:val="none"/>
          <w:lang w:eastAsia="zh-CN"/>
        </w:rPr>
      </w:pPr>
      <w:r>
        <w:rPr>
          <w:rFonts w:hint="eastAsia" w:ascii="Times New Roman" w:hAnsi="Times New Roman" w:eastAsia="方正小标宋简体" w:cs="Times New Roman"/>
          <w:b w:val="0"/>
          <w:bCs/>
          <w:color w:val="auto"/>
          <w:sz w:val="72"/>
          <w:szCs w:val="72"/>
          <w:highlight w:val="none"/>
          <w:lang w:eastAsia="zh-CN"/>
        </w:rPr>
        <w:t>四川省人大教科文卫领域</w:t>
      </w:r>
    </w:p>
    <w:p w14:paraId="74549B51">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方正小标宋简体" w:cs="Times New Roman"/>
          <w:b w:val="0"/>
          <w:bCs/>
          <w:color w:val="auto"/>
          <w:sz w:val="72"/>
          <w:szCs w:val="72"/>
          <w:highlight w:val="none"/>
          <w:lang w:eastAsia="zh-CN"/>
        </w:rPr>
      </w:pPr>
      <w:r>
        <w:rPr>
          <w:rFonts w:hint="eastAsia" w:ascii="Times New Roman" w:hAnsi="Times New Roman" w:eastAsia="方正小标宋简体" w:cs="Times New Roman"/>
          <w:b w:val="0"/>
          <w:bCs/>
          <w:color w:val="auto"/>
          <w:sz w:val="72"/>
          <w:szCs w:val="72"/>
          <w:highlight w:val="none"/>
          <w:lang w:eastAsia="zh-CN"/>
        </w:rPr>
        <w:t>调研报告选编</w:t>
      </w:r>
    </w:p>
    <w:p w14:paraId="782328CF">
      <w:pPr>
        <w:keepNext w:val="0"/>
        <w:keepLines w:val="0"/>
        <w:pageBreakBefore w:val="0"/>
        <w:widowControl w:val="0"/>
        <w:kinsoku/>
        <w:wordWrap/>
        <w:overflowPunct/>
        <w:topLinePunct w:val="0"/>
        <w:autoSpaceDE/>
        <w:autoSpaceDN/>
        <w:bidi w:val="0"/>
        <w:adjustRightInd/>
        <w:snapToGrid/>
        <w:jc w:val="center"/>
        <w:textAlignment w:val="auto"/>
        <w:rPr>
          <w:rFonts w:hint="eastAsia" w:ascii="Times New Roman" w:hAnsi="Times New Roman" w:eastAsia="方正小标宋简体" w:cs="Times New Roman"/>
          <w:b w:val="0"/>
          <w:bCs/>
          <w:color w:val="auto"/>
          <w:sz w:val="72"/>
          <w:szCs w:val="72"/>
          <w:highlight w:val="none"/>
          <w:lang w:eastAsia="zh-CN"/>
        </w:rPr>
      </w:pPr>
    </w:p>
    <w:p w14:paraId="588A0BAC">
      <w:pPr>
        <w:bidi w:val="0"/>
        <w:jc w:val="center"/>
        <w:outlineLvl w:val="9"/>
        <w:rPr>
          <w:rFonts w:hint="eastAsia" w:ascii="微软雅黑" w:hAnsi="微软雅黑" w:eastAsia="微软雅黑" w:cs="微软雅黑"/>
          <w:b w:val="0"/>
          <w:bCs/>
          <w:sz w:val="40"/>
          <w:szCs w:val="48"/>
        </w:rPr>
      </w:pPr>
    </w:p>
    <w:p w14:paraId="10E19776">
      <w:pPr>
        <w:bidi w:val="0"/>
        <w:jc w:val="center"/>
        <w:outlineLvl w:val="9"/>
        <w:rPr>
          <w:rFonts w:hint="eastAsia" w:ascii="微软雅黑" w:hAnsi="微软雅黑" w:eastAsia="微软雅黑" w:cs="微软雅黑"/>
          <w:b w:val="0"/>
          <w:bCs/>
          <w:sz w:val="40"/>
          <w:szCs w:val="48"/>
        </w:rPr>
      </w:pPr>
    </w:p>
    <w:p w14:paraId="05FA61E4">
      <w:pPr>
        <w:bidi w:val="0"/>
        <w:jc w:val="center"/>
        <w:outlineLvl w:val="9"/>
        <w:rPr>
          <w:rFonts w:hint="eastAsia" w:ascii="微软雅黑" w:hAnsi="微软雅黑" w:eastAsia="微软雅黑" w:cs="微软雅黑"/>
          <w:b w:val="0"/>
          <w:bCs/>
          <w:sz w:val="40"/>
          <w:szCs w:val="48"/>
        </w:rPr>
      </w:pPr>
    </w:p>
    <w:p w14:paraId="787775E6">
      <w:pPr>
        <w:keepLines w:val="0"/>
        <w:pageBreakBefore w:val="0"/>
        <w:kinsoku/>
        <w:wordWrap/>
        <w:topLinePunct w:val="0"/>
        <w:autoSpaceDE/>
        <w:autoSpaceDN/>
        <w:bidi w:val="0"/>
        <w:ind w:firstLine="1446" w:firstLineChars="400"/>
        <w:jc w:val="left"/>
        <w:rPr>
          <w:rFonts w:hint="eastAsia" w:ascii="Times New Roman" w:hAnsi="Times New Roman" w:eastAsia="方正楷体简体" w:cs="Times New Roman"/>
          <w:b/>
          <w:bCs w:val="0"/>
          <w:color w:val="auto"/>
          <w:sz w:val="36"/>
          <w:szCs w:val="36"/>
          <w:highlight w:val="none"/>
          <w:lang w:eastAsia="zh-CN"/>
        </w:rPr>
      </w:pPr>
      <w:r>
        <w:rPr>
          <w:rFonts w:hint="eastAsia" w:ascii="Times New Roman" w:hAnsi="Times New Roman" w:eastAsia="方正楷体简体" w:cs="Times New Roman"/>
          <w:b/>
          <w:bCs w:val="0"/>
          <w:color w:val="auto"/>
          <w:sz w:val="36"/>
          <w:szCs w:val="36"/>
          <w:highlight w:val="none"/>
          <w:lang w:eastAsia="zh-CN"/>
        </w:rPr>
        <w:t>四川省人大教育科学文化卫生委员会</w:t>
      </w:r>
    </w:p>
    <w:p w14:paraId="3513C878">
      <w:pPr>
        <w:keepLines w:val="0"/>
        <w:pageBreakBefore w:val="0"/>
        <w:kinsoku/>
        <w:wordWrap/>
        <w:topLinePunct w:val="0"/>
        <w:autoSpaceDE/>
        <w:autoSpaceDN/>
        <w:bidi w:val="0"/>
        <w:ind w:firstLine="3253" w:firstLineChars="900"/>
        <w:jc w:val="both"/>
        <w:rPr>
          <w:rFonts w:hint="eastAsia" w:ascii="Times New Roman" w:hAnsi="Times New Roman" w:eastAsia="方正楷体简体" w:cs="Times New Roman"/>
          <w:b/>
          <w:bCs w:val="0"/>
          <w:color w:val="auto"/>
          <w:sz w:val="36"/>
          <w:szCs w:val="36"/>
          <w:highlight w:val="none"/>
          <w:lang w:eastAsia="zh-CN"/>
        </w:rPr>
      </w:pPr>
      <w:r>
        <w:rPr>
          <w:rFonts w:hint="eastAsia" w:ascii="Times New Roman" w:hAnsi="Times New Roman" w:eastAsia="方正楷体简体" w:cs="Times New Roman"/>
          <w:b/>
          <w:bCs w:val="0"/>
          <w:color w:val="auto"/>
          <w:sz w:val="36"/>
          <w:szCs w:val="36"/>
          <w:highlight w:val="none"/>
          <w:lang w:eastAsia="zh-CN"/>
        </w:rPr>
        <w:t>2024年11月</w:t>
      </w:r>
    </w:p>
    <w:p w14:paraId="611AE565">
      <w:pPr>
        <w:pStyle w:val="2"/>
        <w:bidi w:val="0"/>
        <w:outlineLvl w:val="9"/>
        <w:rPr>
          <w:rFonts w:hint="eastAsia" w:ascii="方正公文黑体" w:hAnsi="方正公文黑体" w:eastAsia="方正公文黑体" w:cs="方正公文黑体"/>
          <w:b w:val="0"/>
          <w:bCs/>
          <w:sz w:val="32"/>
          <w:szCs w:val="32"/>
        </w:rPr>
      </w:pPr>
      <w:r>
        <w:rPr>
          <w:rFonts w:hint="eastAsia" w:ascii="方正公文黑体" w:hAnsi="方正公文黑体" w:eastAsia="方正公文黑体" w:cs="方正公文黑体"/>
          <w:b w:val="0"/>
          <w:bCs/>
          <w:sz w:val="32"/>
          <w:szCs w:val="32"/>
        </w:rPr>
        <w:br w:type="page"/>
      </w:r>
    </w:p>
    <w:p w14:paraId="4AB31B94">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方正公文黑体" w:hAnsi="方正公文黑体" w:eastAsia="方正公文黑体" w:cs="方正公文黑体"/>
          <w:b w:val="0"/>
          <w:bCs/>
          <w:sz w:val="32"/>
          <w:szCs w:val="32"/>
        </w:rPr>
      </w:pPr>
    </w:p>
    <w:p w14:paraId="59BA829B">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方正公文黑体" w:hAnsi="方正公文黑体" w:eastAsia="方正公文黑体" w:cs="方正公文黑体"/>
          <w:b w:val="0"/>
          <w:bCs/>
          <w:sz w:val="32"/>
          <w:szCs w:val="32"/>
        </w:rPr>
      </w:pPr>
    </w:p>
    <w:p w14:paraId="1F7E28EE">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eastAsia" w:ascii="Times New Roman" w:hAnsi="Times New Roman" w:eastAsia="方正小标宋简体" w:cs="Times New Roman"/>
          <w:b w:val="0"/>
          <w:bCs/>
          <w:color w:val="auto"/>
          <w:highlight w:val="none"/>
          <w:lang w:val="en-US" w:eastAsia="zh-CN"/>
        </w:rPr>
      </w:pPr>
      <w:r>
        <w:rPr>
          <w:rFonts w:hint="eastAsia" w:ascii="Times New Roman" w:hAnsi="Times New Roman" w:eastAsia="方正小标宋简体" w:cs="Times New Roman"/>
          <w:b w:val="0"/>
          <w:bCs/>
          <w:color w:val="auto"/>
          <w:highlight w:val="none"/>
          <w:lang w:val="en-US" w:eastAsia="zh-CN"/>
        </w:rPr>
        <w:t>前 言</w:t>
      </w:r>
    </w:p>
    <w:p w14:paraId="253CA3C9">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方正公文黑体" w:hAnsi="方正公文黑体" w:eastAsia="方正公文黑体" w:cs="方正公文黑体"/>
          <w:b w:val="0"/>
          <w:bCs/>
          <w:sz w:val="32"/>
          <w:szCs w:val="32"/>
          <w:lang w:eastAsia="zh-CN"/>
        </w:rPr>
      </w:pPr>
    </w:p>
    <w:p w14:paraId="2A99D984">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 w:val="0"/>
          <w:bCs/>
          <w:sz w:val="32"/>
          <w:szCs w:val="32"/>
        </w:rPr>
      </w:pPr>
      <w:r>
        <w:rPr>
          <w:rFonts w:hint="eastAsia" w:ascii="Times New Roman" w:hAnsi="Times New Roman" w:eastAsia="方正楷体简体" w:cs="Times New Roman"/>
          <w:b w:val="0"/>
          <w:bCs/>
          <w:color w:val="auto"/>
          <w:sz w:val="32"/>
          <w:szCs w:val="32"/>
          <w:lang w:val="en-US" w:eastAsia="zh-CN"/>
        </w:rPr>
        <w:t>为交流全省人大教科文卫工作调研成果，不断提高依法履职能力和水平，现将全省人大教科文卫领域有关调研报告予以选编，供参阅借鉴。</w:t>
      </w:r>
    </w:p>
    <w:p w14:paraId="5F3E81BE">
      <w:pPr>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br w:type="page"/>
      </w:r>
    </w:p>
    <w:p w14:paraId="47F6502A">
      <w:pPr>
        <w:rPr>
          <w:b w:val="0"/>
          <w:bCs/>
        </w:rPr>
      </w:pPr>
    </w:p>
    <w:p w14:paraId="16603D70">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小标宋简体" w:cs="Times New Roman"/>
          <w:b w:val="0"/>
          <w:bCs/>
          <w:color w:val="auto"/>
          <w:highlight w:val="none"/>
          <w:lang w:val="en-US" w:eastAsia="zh-CN"/>
        </w:rPr>
      </w:pPr>
      <w:r>
        <w:rPr>
          <w:rFonts w:hint="default" w:ascii="Times New Roman" w:hAnsi="Times New Roman" w:eastAsia="方正小标宋简体" w:cs="Times New Roman"/>
          <w:b w:val="0"/>
          <w:bCs/>
          <w:color w:val="auto"/>
          <w:highlight w:val="none"/>
          <w:lang w:val="en-US" w:eastAsia="zh-CN"/>
        </w:rPr>
        <w:t>目  录</w:t>
      </w:r>
    </w:p>
    <w:p w14:paraId="09BC0B15">
      <w:pPr>
        <w:keepLines w:val="0"/>
        <w:pageBreakBefore w:val="0"/>
        <w:kinsoku/>
        <w:wordWrap/>
        <w:topLinePunct w:val="0"/>
        <w:autoSpaceDE/>
        <w:autoSpaceDN/>
        <w:bidi w:val="0"/>
        <w:jc w:val="center"/>
        <w:rPr>
          <w:rFonts w:hint="default" w:ascii="Times New Roman" w:hAnsi="Times New Roman" w:eastAsia="方正仿宋简体" w:cs="Times New Roman"/>
          <w:b w:val="0"/>
          <w:bCs/>
          <w:color w:val="auto"/>
          <w:sz w:val="28"/>
          <w:szCs w:val="28"/>
          <w:highlight w:val="none"/>
          <w:lang w:eastAsia="zh-CN"/>
        </w:rPr>
      </w:pPr>
    </w:p>
    <w:p w14:paraId="0764C742">
      <w:pPr>
        <w:keepLines w:val="0"/>
        <w:pageBreakBefore w:val="0"/>
        <w:kinsoku/>
        <w:wordWrap/>
        <w:topLinePunct w:val="0"/>
        <w:autoSpaceDE/>
        <w:autoSpaceDN/>
        <w:bidi w:val="0"/>
        <w:jc w:val="center"/>
        <w:rPr>
          <w:rFonts w:hint="default" w:ascii="Times New Roman" w:hAnsi="Times New Roman" w:eastAsia="方正黑体简体" w:cs="Times New Roman"/>
          <w:b/>
          <w:bCs w:val="0"/>
          <w:color w:val="auto"/>
          <w:sz w:val="28"/>
          <w:szCs w:val="28"/>
          <w:highlight w:val="none"/>
          <w:lang w:eastAsia="zh-CN"/>
        </w:rPr>
      </w:pPr>
      <w:r>
        <w:rPr>
          <w:rFonts w:hint="default" w:ascii="Times New Roman" w:hAnsi="Times New Roman" w:eastAsia="方正黑体简体" w:cs="Times New Roman"/>
          <w:b/>
          <w:bCs w:val="0"/>
          <w:color w:val="auto"/>
          <w:sz w:val="28"/>
          <w:szCs w:val="28"/>
          <w:highlight w:val="none"/>
          <w:lang w:eastAsia="zh-CN"/>
        </w:rPr>
        <w:t>省级层面</w:t>
      </w:r>
    </w:p>
    <w:p w14:paraId="5380ABD7">
      <w:pPr>
        <w:keepLines w:val="0"/>
        <w:pageBreakBefore w:val="0"/>
        <w:kinsoku/>
        <w:wordWrap/>
        <w:topLinePunct w:val="0"/>
        <w:autoSpaceDE/>
        <w:autoSpaceDN/>
        <w:bidi w:val="0"/>
        <w:ind w:firstLine="280" w:firstLineChars="100"/>
        <w:jc w:val="both"/>
        <w:rPr>
          <w:rFonts w:hint="default" w:ascii="Times New Roman" w:hAnsi="Times New Roman" w:eastAsia="方正楷体简体" w:cs="Times New Roman"/>
          <w:b w:val="0"/>
          <w:bCs/>
          <w:color w:val="auto"/>
          <w:sz w:val="28"/>
          <w:szCs w:val="28"/>
          <w:highlight w:val="none"/>
        </w:rPr>
      </w:pPr>
      <w:r>
        <w:rPr>
          <w:rFonts w:hint="eastAsia" w:ascii="Times New Roman" w:hAnsi="Times New Roman" w:eastAsia="方正仿宋简体" w:cs="Times New Roman"/>
          <w:b w:val="0"/>
          <w:bCs/>
          <w:color w:val="auto"/>
          <w:sz w:val="28"/>
          <w:szCs w:val="28"/>
          <w:highlight w:val="none"/>
          <w:lang w:val="en-US" w:eastAsia="zh-CN"/>
        </w:rPr>
        <w:t>1.</w:t>
      </w:r>
      <w:r>
        <w:rPr>
          <w:rFonts w:hint="default" w:ascii="Times New Roman" w:hAnsi="Times New Roman" w:eastAsia="方正仿宋简体" w:cs="Times New Roman"/>
          <w:b w:val="0"/>
          <w:bCs/>
          <w:color w:val="auto"/>
          <w:sz w:val="28"/>
          <w:szCs w:val="28"/>
          <w:highlight w:val="none"/>
        </w:rPr>
        <w:fldChar w:fldCharType="begin"/>
      </w:r>
      <w:r>
        <w:rPr>
          <w:rFonts w:hint="default" w:ascii="Times New Roman" w:hAnsi="Times New Roman" w:eastAsia="方正仿宋简体" w:cs="Times New Roman"/>
          <w:b w:val="0"/>
          <w:bCs/>
          <w:color w:val="auto"/>
          <w:sz w:val="28"/>
          <w:szCs w:val="28"/>
          <w:highlight w:val="none"/>
        </w:rPr>
        <w:instrText xml:space="preserve">TOC \o "1-1" \h \u </w:instrText>
      </w:r>
      <w:r>
        <w:rPr>
          <w:rFonts w:hint="default" w:ascii="Times New Roman" w:hAnsi="Times New Roman" w:eastAsia="方正仿宋简体" w:cs="Times New Roman"/>
          <w:b w:val="0"/>
          <w:bCs/>
          <w:color w:val="auto"/>
          <w:sz w:val="28"/>
          <w:szCs w:val="28"/>
          <w:highlight w:val="none"/>
        </w:rPr>
        <w:fldChar w:fldCharType="separate"/>
      </w: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_Toc28524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我省川剧保护传承情况研究........................................................ 5</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p>
    <w:p w14:paraId="20485768">
      <w:pPr>
        <w:keepLines w:val="0"/>
        <w:pageBreakBefore w:val="0"/>
        <w:kinsoku/>
        <w:wordWrap/>
        <w:topLinePunct w:val="0"/>
        <w:autoSpaceDE/>
        <w:autoSpaceDN/>
        <w:bidi w:val="0"/>
        <w:jc w:val="center"/>
        <w:rPr>
          <w:rFonts w:hint="default" w:ascii="Times New Roman" w:hAnsi="Times New Roman" w:eastAsia="方正黑体简体" w:cs="Times New Roman"/>
          <w:b w:val="0"/>
          <w:bCs/>
          <w:color w:val="auto"/>
          <w:sz w:val="28"/>
          <w:szCs w:val="28"/>
          <w:highlight w:val="none"/>
          <w:lang w:eastAsia="zh-CN"/>
        </w:rPr>
      </w:pPr>
      <w:r>
        <w:rPr>
          <w:rFonts w:hint="default" w:ascii="Times New Roman" w:hAnsi="Times New Roman" w:eastAsia="方正黑体简体" w:cs="Times New Roman"/>
          <w:b/>
          <w:bCs w:val="0"/>
          <w:color w:val="auto"/>
          <w:sz w:val="28"/>
          <w:szCs w:val="28"/>
          <w:highlight w:val="none"/>
          <w:lang w:eastAsia="zh-CN"/>
        </w:rPr>
        <w:t>市级层面</w:t>
      </w:r>
    </w:p>
    <w:p w14:paraId="3CD09A41">
      <w:pPr>
        <w:pStyle w:val="4"/>
        <w:tabs>
          <w:tab w:val="right" w:leader="dot" w:pos="7835"/>
        </w:tabs>
        <w:spacing w:before="85" w:line="220"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eastAsia" w:ascii="Times New Roman" w:hAnsi="Times New Roman" w:eastAsia="方正楷体简体" w:cs="Times New Roman"/>
          <w:b w:val="0"/>
          <w:bCs/>
          <w:color w:val="auto"/>
          <w:kern w:val="2"/>
          <w:sz w:val="28"/>
          <w:szCs w:val="28"/>
          <w:highlight w:val="none"/>
          <w:lang w:val="en-US" w:eastAsia="zh-CN" w:bidi="ar-SA"/>
        </w:rPr>
        <w:t>2.</w:t>
      </w: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"bookmark7"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default" w:ascii="Times New Roman" w:hAnsi="Times New Roman" w:eastAsia="方正楷体简体" w:cs="Times New Roman"/>
          <w:b w:val="0"/>
          <w:bCs/>
          <w:color w:val="auto"/>
          <w:kern w:val="2"/>
          <w:sz w:val="28"/>
          <w:szCs w:val="28"/>
          <w:highlight w:val="none"/>
          <w:lang w:val="en-US" w:eastAsia="zh-CN" w:bidi="ar-SA"/>
        </w:rPr>
        <w:t>成都市:关于推动蜀锦蜀绣高质量发展的调研报告</w:t>
      </w:r>
      <w:r>
        <w:rPr>
          <w:rFonts w:hint="eastAsia" w:ascii="Times New Roman" w:hAnsi="Times New Roman" w:eastAsia="方正楷体简体" w:cs="Times New Roman"/>
          <w:b w:val="0"/>
          <w:bCs/>
          <w:color w:val="auto"/>
          <w:kern w:val="2"/>
          <w:sz w:val="28"/>
          <w:szCs w:val="28"/>
          <w:highlight w:val="none"/>
          <w:lang w:val="en-US" w:eastAsia="zh-CN" w:bidi="ar-SA"/>
        </w:rPr>
        <w:t>..................18</w:t>
      </w:r>
      <w:r>
        <w:rPr>
          <w:rFonts w:hint="default" w:ascii="Times New Roman" w:hAnsi="Times New Roman" w:eastAsia="方正楷体简体" w:cs="Times New Roman"/>
          <w:b w:val="0"/>
          <w:bCs/>
          <w:color w:val="auto"/>
          <w:kern w:val="2"/>
          <w:sz w:val="28"/>
          <w:szCs w:val="28"/>
          <w:highlight w:val="none"/>
          <w:lang w:val="en-US" w:eastAsia="zh-CN" w:bidi="ar-SA"/>
        </w:rPr>
        <w:t xml:space="preserve"> </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p>
    <w:p w14:paraId="6878AD9D">
      <w:pPr>
        <w:pStyle w:val="4"/>
        <w:tabs>
          <w:tab w:val="right" w:leader="dot" w:pos="7835"/>
        </w:tabs>
        <w:spacing w:before="85" w:line="220" w:lineRule="auto"/>
        <w:ind w:firstLine="280" w:firstLineChars="100"/>
        <w:jc w:val="both"/>
        <w:rPr>
          <w:rFonts w:hint="eastAsia"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"bookmark8"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3.</w:t>
      </w:r>
      <w:r>
        <w:rPr>
          <w:rFonts w:hint="default" w:ascii="Times New Roman" w:hAnsi="Times New Roman" w:eastAsia="方正楷体简体" w:cs="Times New Roman"/>
          <w:b w:val="0"/>
          <w:bCs/>
          <w:color w:val="auto"/>
          <w:kern w:val="2"/>
          <w:sz w:val="28"/>
          <w:szCs w:val="28"/>
          <w:highlight w:val="none"/>
          <w:lang w:val="en-US" w:eastAsia="zh-CN" w:bidi="ar-SA"/>
        </w:rPr>
        <w:t xml:space="preserve">泸州市:关于普惠托育可持续发展的调研报告 </w:t>
      </w:r>
      <w:r>
        <w:rPr>
          <w:rFonts w:hint="eastAsia" w:ascii="Times New Roman" w:hAnsi="Times New Roman" w:eastAsia="方正楷体简体" w:cs="Times New Roman"/>
          <w:b w:val="0"/>
          <w:bCs/>
          <w:color w:val="auto"/>
          <w:kern w:val="2"/>
          <w:sz w:val="28"/>
          <w:szCs w:val="28"/>
          <w:highlight w:val="none"/>
          <w:lang w:val="en-US" w:eastAsia="zh-CN" w:bidi="ar-SA"/>
        </w:rPr>
        <w:t>.</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.......................24</w:t>
      </w:r>
    </w:p>
    <w:p w14:paraId="5CB24624">
      <w:pPr>
        <w:pStyle w:val="4"/>
        <w:tabs>
          <w:tab w:val="right" w:leader="dot" w:pos="7835"/>
        </w:tabs>
        <w:spacing w:before="85" w:line="220"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"bookmark9"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4</w:t>
      </w:r>
      <w:r>
        <w:rPr>
          <w:rFonts w:hint="default" w:ascii="Times New Roman" w:hAnsi="Times New Roman" w:eastAsia="方正楷体简体" w:cs="Times New Roman"/>
          <w:b w:val="0"/>
          <w:bCs/>
          <w:color w:val="auto"/>
          <w:kern w:val="2"/>
          <w:sz w:val="28"/>
          <w:szCs w:val="28"/>
          <w:highlight w:val="none"/>
          <w:lang w:val="en-US" w:eastAsia="zh-CN" w:bidi="ar-SA"/>
        </w:rPr>
        <w:t xml:space="preserve"> . 德阳市:关于三星堆国家文物保护利用示范区建设的</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p>
    <w:p w14:paraId="5B64E0A3">
      <w:pPr>
        <w:pStyle w:val="4"/>
        <w:tabs>
          <w:tab w:val="right" w:leader="dot" w:pos="7835"/>
        </w:tabs>
        <w:spacing w:before="85" w:line="220"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"bookmark9"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default" w:ascii="Times New Roman" w:hAnsi="Times New Roman" w:eastAsia="方正楷体简体" w:cs="Times New Roman"/>
          <w:b w:val="0"/>
          <w:bCs/>
          <w:color w:val="auto"/>
          <w:kern w:val="2"/>
          <w:sz w:val="28"/>
          <w:szCs w:val="28"/>
          <w:highlight w:val="none"/>
          <w:lang w:val="en-US" w:eastAsia="zh-CN" w:bidi="ar-SA"/>
        </w:rPr>
        <w:t>调研</w:t>
      </w:r>
      <w:r>
        <w:rPr>
          <w:rFonts w:hint="eastAsia" w:ascii="Times New Roman" w:hAnsi="Times New Roman" w:eastAsia="方正楷体简体" w:cs="Times New Roman"/>
          <w:b w:val="0"/>
          <w:bCs/>
          <w:color w:val="auto"/>
          <w:kern w:val="2"/>
          <w:sz w:val="28"/>
          <w:szCs w:val="28"/>
          <w:highlight w:val="none"/>
          <w:lang w:val="en-US" w:eastAsia="zh-CN" w:bidi="ar-SA"/>
        </w:rPr>
        <w:t>报</w:t>
      </w:r>
      <w:r>
        <w:rPr>
          <w:rFonts w:hint="default" w:ascii="Times New Roman" w:hAnsi="Times New Roman" w:eastAsia="方正楷体简体" w:cs="Times New Roman"/>
          <w:b w:val="0"/>
          <w:bCs/>
          <w:color w:val="auto"/>
          <w:kern w:val="2"/>
          <w:sz w:val="28"/>
          <w:szCs w:val="28"/>
          <w:highlight w:val="none"/>
          <w:lang w:val="en-US" w:eastAsia="zh-CN" w:bidi="ar-SA"/>
        </w:rPr>
        <w:t xml:space="preserve">告 </w:t>
      </w:r>
      <w:r>
        <w:rPr>
          <w:rFonts w:hint="eastAsia" w:ascii="Times New Roman" w:hAnsi="Times New Roman" w:eastAsia="方正楷体简体" w:cs="Times New Roman"/>
          <w:b w:val="0"/>
          <w:bCs/>
          <w:color w:val="auto"/>
          <w:kern w:val="2"/>
          <w:sz w:val="28"/>
          <w:szCs w:val="28"/>
          <w:highlight w:val="none"/>
          <w:lang w:val="en-US" w:eastAsia="zh-CN" w:bidi="ar-SA"/>
        </w:rPr>
        <w:t>.</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...............................................................................30</w:t>
      </w:r>
    </w:p>
    <w:p w14:paraId="770C0374">
      <w:pPr>
        <w:pStyle w:val="4"/>
        <w:spacing w:before="160" w:line="235"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"bookmark10"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5</w:t>
      </w:r>
      <w:r>
        <w:rPr>
          <w:rFonts w:hint="default" w:ascii="Times New Roman" w:hAnsi="Times New Roman" w:eastAsia="方正楷体简体" w:cs="Times New Roman"/>
          <w:b w:val="0"/>
          <w:bCs/>
          <w:color w:val="auto"/>
          <w:kern w:val="2"/>
          <w:sz w:val="28"/>
          <w:szCs w:val="28"/>
          <w:highlight w:val="none"/>
          <w:lang w:val="en-US" w:eastAsia="zh-CN" w:bidi="ar-SA"/>
        </w:rPr>
        <w:t>. 绵阳市:关于推进科技创新和科技成果转化助力绵阳</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p>
    <w:p w14:paraId="174BF85F">
      <w:pPr>
        <w:pStyle w:val="4"/>
        <w:spacing w:before="160" w:line="235"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"bookmark10"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default" w:ascii="Times New Roman" w:hAnsi="Times New Roman" w:eastAsia="方正楷体简体" w:cs="Times New Roman"/>
          <w:b w:val="0"/>
          <w:bCs/>
          <w:color w:val="auto"/>
          <w:kern w:val="2"/>
          <w:sz w:val="28"/>
          <w:szCs w:val="28"/>
          <w:highlight w:val="none"/>
          <w:lang w:val="en-US" w:eastAsia="zh-CN" w:bidi="ar-SA"/>
        </w:rPr>
        <w:t xml:space="preserve">科技城建设的调研报告 </w:t>
      </w:r>
      <w:r>
        <w:rPr>
          <w:rFonts w:hint="eastAsia" w:ascii="Times New Roman" w:hAnsi="Times New Roman" w:eastAsia="方正楷体简体" w:cs="Times New Roman"/>
          <w:b w:val="0"/>
          <w:bCs/>
          <w:color w:val="auto"/>
          <w:kern w:val="2"/>
          <w:sz w:val="28"/>
          <w:szCs w:val="28"/>
          <w:highlight w:val="none"/>
          <w:lang w:val="en-US" w:eastAsia="zh-CN" w:bidi="ar-SA"/>
        </w:rPr>
        <w:t>.</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.......................................................36</w:t>
      </w:r>
    </w:p>
    <w:p w14:paraId="71DA384B">
      <w:pPr>
        <w:pStyle w:val="4"/>
        <w:spacing w:before="160" w:line="235"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"bookmark11"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6</w:t>
      </w:r>
      <w:r>
        <w:rPr>
          <w:rFonts w:hint="default" w:ascii="Times New Roman" w:hAnsi="Times New Roman" w:eastAsia="方正楷体简体" w:cs="Times New Roman"/>
          <w:b w:val="0"/>
          <w:bCs/>
          <w:color w:val="auto"/>
          <w:kern w:val="2"/>
          <w:sz w:val="28"/>
          <w:szCs w:val="28"/>
          <w:highlight w:val="none"/>
          <w:lang w:val="en-US" w:eastAsia="zh-CN" w:bidi="ar-SA"/>
        </w:rPr>
        <w:t xml:space="preserve"> . 广元市:关于曾家山原住民参与旅游区建设的</w:t>
      </w:r>
    </w:p>
    <w:p w14:paraId="4B98E134">
      <w:pPr>
        <w:pStyle w:val="4"/>
        <w:spacing w:before="160" w:line="235"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t>调研报告</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"bookmark11"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..................................................................................4</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2</w:t>
      </w:r>
    </w:p>
    <w:p w14:paraId="260F6F47">
      <w:pPr>
        <w:pStyle w:val="4"/>
        <w:spacing w:before="228" w:line="235"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"bookmark12"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7</w:t>
      </w:r>
      <w:r>
        <w:rPr>
          <w:rFonts w:hint="default" w:ascii="Times New Roman" w:hAnsi="Times New Roman" w:eastAsia="方正楷体简体" w:cs="Times New Roman"/>
          <w:b w:val="0"/>
          <w:bCs/>
          <w:color w:val="auto"/>
          <w:kern w:val="2"/>
          <w:sz w:val="28"/>
          <w:szCs w:val="28"/>
          <w:highlight w:val="none"/>
          <w:lang w:val="en-US" w:eastAsia="zh-CN" w:bidi="ar-SA"/>
        </w:rPr>
        <w:t xml:space="preserve"> . 遂宁市:关于基层医疗卫生机构生存与转型的</w:t>
      </w:r>
    </w:p>
    <w:p w14:paraId="2D8C148D">
      <w:pPr>
        <w:pStyle w:val="4"/>
        <w:spacing w:before="228" w:line="235"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t>调研报告</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"bookmark12"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..................................................................................4</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9</w:t>
      </w:r>
    </w:p>
    <w:p w14:paraId="69B9A0E8">
      <w:pPr>
        <w:pStyle w:val="4"/>
        <w:spacing w:before="229" w:line="237"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"bookmark13"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8</w:t>
      </w:r>
      <w:r>
        <w:rPr>
          <w:rFonts w:hint="default" w:ascii="Times New Roman" w:hAnsi="Times New Roman" w:eastAsia="方正楷体简体" w:cs="Times New Roman"/>
          <w:b w:val="0"/>
          <w:bCs/>
          <w:color w:val="auto"/>
          <w:kern w:val="2"/>
          <w:sz w:val="28"/>
          <w:szCs w:val="28"/>
          <w:highlight w:val="none"/>
          <w:lang w:val="en-US" w:eastAsia="zh-CN" w:bidi="ar-SA"/>
        </w:rPr>
        <w:t xml:space="preserve"> . 内江市:关于打造研学旅游品牌助推文旅高质量发展</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"bookmark13"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default" w:ascii="Times New Roman" w:hAnsi="Times New Roman" w:eastAsia="方正楷体简体" w:cs="Times New Roman"/>
          <w:b w:val="0"/>
          <w:bCs/>
          <w:color w:val="auto"/>
          <w:kern w:val="2"/>
          <w:sz w:val="28"/>
          <w:szCs w:val="28"/>
          <w:highlight w:val="none"/>
          <w:lang w:val="en-US" w:eastAsia="zh-CN" w:bidi="ar-SA"/>
        </w:rPr>
        <w:t>的</w:t>
      </w:r>
    </w:p>
    <w:p w14:paraId="226BE4AA">
      <w:pPr>
        <w:pStyle w:val="4"/>
        <w:spacing w:before="229" w:line="237" w:lineRule="auto"/>
        <w:ind w:firstLine="840" w:firstLineChars="300"/>
        <w:jc w:val="both"/>
        <w:rPr>
          <w:rFonts w:hint="default" w:ascii="Times New Roman" w:hAnsi="Times New Roman" w:eastAsia="方正楷体简体" w:cs="Times New Roman"/>
          <w:b w:val="0"/>
          <w:bCs/>
          <w:color w:val="auto"/>
          <w:sz w:val="28"/>
          <w:szCs w:val="28"/>
          <w:lang w:val="en-US"/>
        </w:rPr>
      </w:pPr>
      <w:r>
        <w:rPr>
          <w:rFonts w:hint="default" w:ascii="Times New Roman" w:hAnsi="Times New Roman" w:eastAsia="方正楷体简体" w:cs="Times New Roman"/>
          <w:b w:val="0"/>
          <w:bCs/>
          <w:color w:val="auto"/>
          <w:kern w:val="2"/>
          <w:sz w:val="28"/>
          <w:szCs w:val="28"/>
          <w:highlight w:val="none"/>
          <w:lang w:val="en-US" w:eastAsia="zh-CN" w:bidi="ar-SA"/>
        </w:rPr>
        <w:t>调研</w:t>
      </w:r>
      <w:r>
        <w:rPr>
          <w:rFonts w:hint="eastAsia" w:ascii="Times New Roman" w:hAnsi="Times New Roman" w:eastAsia="方正楷体简体" w:cs="Times New Roman"/>
          <w:b w:val="0"/>
          <w:bCs/>
          <w:color w:val="auto"/>
          <w:kern w:val="2"/>
          <w:sz w:val="28"/>
          <w:szCs w:val="28"/>
          <w:highlight w:val="none"/>
          <w:lang w:val="en-US" w:eastAsia="zh-CN" w:bidi="ar-SA"/>
        </w:rPr>
        <w:t>报</w:t>
      </w:r>
      <w:r>
        <w:rPr>
          <w:rFonts w:hint="default" w:ascii="Times New Roman" w:hAnsi="Times New Roman" w:eastAsia="方正楷体简体" w:cs="Times New Roman"/>
          <w:b w:val="0"/>
          <w:bCs/>
          <w:color w:val="auto"/>
          <w:kern w:val="2"/>
          <w:sz w:val="28"/>
          <w:szCs w:val="28"/>
          <w:highlight w:val="none"/>
          <w:lang w:val="en-US" w:eastAsia="zh-CN" w:bidi="ar-SA"/>
        </w:rPr>
        <w:t xml:space="preserve">告 </w:t>
      </w:r>
      <w:r>
        <w:rPr>
          <w:rFonts w:hint="eastAsia" w:ascii="Times New Roman" w:hAnsi="Times New Roman" w:eastAsia="方正楷体简体" w:cs="Times New Roman"/>
          <w:b w:val="0"/>
          <w:bCs/>
          <w:color w:val="auto"/>
          <w:kern w:val="2"/>
          <w:sz w:val="28"/>
          <w:szCs w:val="28"/>
          <w:highlight w:val="none"/>
          <w:lang w:val="en-US" w:eastAsia="zh-CN" w:bidi="ar-SA"/>
        </w:rPr>
        <w:t>................................................................................5</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5</w:t>
      </w:r>
    </w:p>
    <w:p w14:paraId="661D4502">
      <w:pPr>
        <w:keepLines w:val="0"/>
        <w:pageBreakBefore w:val="0"/>
        <w:kinsoku/>
        <w:wordWrap/>
        <w:topLinePunct w:val="0"/>
        <w:autoSpaceDE/>
        <w:autoSpaceDN/>
        <w:bidi w:val="0"/>
        <w:jc w:val="center"/>
        <w:rPr>
          <w:rFonts w:hint="default" w:ascii="Times New Roman" w:hAnsi="Times New Roman" w:eastAsia="方正仿宋简体" w:cs="Times New Roman"/>
          <w:b w:val="0"/>
          <w:bCs/>
          <w:color w:val="auto"/>
          <w:sz w:val="28"/>
          <w:szCs w:val="28"/>
          <w:highlight w:val="none"/>
          <w:lang w:eastAsia="zh-CN"/>
        </w:rPr>
      </w:pPr>
    </w:p>
    <w:p w14:paraId="4D0FD68F">
      <w:pPr>
        <w:pStyle w:val="4"/>
        <w:tabs>
          <w:tab w:val="right" w:leader="dot" w:pos="7835"/>
        </w:tabs>
        <w:spacing w:before="85" w:line="220" w:lineRule="auto"/>
        <w:ind w:firstLine="280" w:firstLineChars="100"/>
        <w:jc w:val="both"/>
        <w:rPr>
          <w:rFonts w:hint="eastAsia" w:ascii="Times New Roman" w:hAnsi="Times New Roman" w:eastAsia="方正楷体简体" w:cs="Times New Roman"/>
          <w:b w:val="0"/>
          <w:bCs/>
          <w:color w:val="auto"/>
          <w:kern w:val="2"/>
          <w:sz w:val="28"/>
          <w:szCs w:val="28"/>
          <w:highlight w:val="none"/>
          <w:lang w:val="en-US" w:eastAsia="zh-CN" w:bidi="ar-SA"/>
        </w:rPr>
      </w:pPr>
      <w:r>
        <w:rPr>
          <w:rFonts w:hint="eastAsia" w:ascii="Times New Roman" w:hAnsi="Times New Roman" w:eastAsia="方正楷体简体" w:cs="Times New Roman"/>
          <w:b w:val="0"/>
          <w:bCs/>
          <w:color w:val="auto"/>
          <w:kern w:val="2"/>
          <w:sz w:val="28"/>
          <w:szCs w:val="28"/>
          <w:highlight w:val="none"/>
          <w:lang w:val="en-US" w:eastAsia="zh-CN" w:bidi="ar-SA"/>
        </w:rPr>
        <w:t>9</w:t>
      </w:r>
      <w:r>
        <w:rPr>
          <w:rFonts w:hint="default" w:ascii="Times New Roman" w:hAnsi="Times New Roman" w:eastAsia="方正楷体简体" w:cs="Times New Roman"/>
          <w:b w:val="0"/>
          <w:bCs/>
          <w:color w:val="auto"/>
          <w:kern w:val="2"/>
          <w:sz w:val="28"/>
          <w:szCs w:val="28"/>
          <w:highlight w:val="none"/>
          <w:lang w:val="en-US" w:eastAsia="zh-CN" w:bidi="ar-SA"/>
        </w:rPr>
        <w:t xml:space="preserve"> . </w:t>
      </w:r>
      <w:r>
        <w:rPr>
          <w:rFonts w:hint="eastAsia" w:ascii="Times New Roman" w:hAnsi="Times New Roman" w:eastAsia="方正楷体简体" w:cs="Times New Roman"/>
          <w:b w:val="0"/>
          <w:bCs/>
          <w:color w:val="auto"/>
          <w:kern w:val="2"/>
          <w:sz w:val="28"/>
          <w:szCs w:val="28"/>
          <w:highlight w:val="none"/>
          <w:lang w:val="en-US" w:eastAsia="zh-CN" w:bidi="ar-SA"/>
        </w:rPr>
        <w:t>宜宾市</w:t>
      </w:r>
      <w:r>
        <w:rPr>
          <w:rFonts w:hint="default" w:ascii="Times New Roman" w:hAnsi="Times New Roman" w:eastAsia="方正楷体简体" w:cs="Times New Roman"/>
          <w:b w:val="0"/>
          <w:bCs/>
          <w:color w:val="auto"/>
          <w:kern w:val="2"/>
          <w:sz w:val="28"/>
          <w:szCs w:val="28"/>
          <w:highlight w:val="none"/>
          <w:lang w:val="en-US" w:eastAsia="zh-CN" w:bidi="ar-SA"/>
        </w:rPr>
        <w:t>:</w:t>
      </w: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"bookmark7"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关于基础教育学校布局与建设的</w:t>
      </w:r>
    </w:p>
    <w:p w14:paraId="3C151D1E">
      <w:pPr>
        <w:pStyle w:val="4"/>
        <w:tabs>
          <w:tab w:val="right" w:leader="dot" w:pos="7835"/>
        </w:tabs>
        <w:spacing w:before="85" w:line="220"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eastAsia" w:ascii="Times New Roman" w:hAnsi="Times New Roman" w:eastAsia="方正楷体简体" w:cs="Times New Roman"/>
          <w:b w:val="0"/>
          <w:bCs/>
          <w:color w:val="auto"/>
          <w:kern w:val="2"/>
          <w:sz w:val="28"/>
          <w:szCs w:val="28"/>
          <w:highlight w:val="none"/>
          <w:lang w:val="en-US" w:eastAsia="zh-CN" w:bidi="ar-SA"/>
        </w:rPr>
        <w:t>调研报</w:t>
      </w:r>
      <w:r>
        <w:rPr>
          <w:rFonts w:hint="default" w:ascii="Times New Roman" w:hAnsi="Times New Roman" w:eastAsia="方正楷体简体" w:cs="Times New Roman"/>
          <w:b w:val="0"/>
          <w:bCs/>
          <w:color w:val="auto"/>
          <w:kern w:val="2"/>
          <w:sz w:val="28"/>
          <w:szCs w:val="28"/>
          <w:highlight w:val="none"/>
          <w:lang w:val="en-US" w:eastAsia="zh-CN" w:bidi="ar-SA"/>
        </w:rPr>
        <w:t>告</w:t>
      </w:r>
      <w:r>
        <w:rPr>
          <w:rFonts w:hint="eastAsia" w:ascii="Times New Roman" w:hAnsi="Times New Roman" w:eastAsia="方正楷体简体" w:cs="Times New Roman"/>
          <w:b w:val="0"/>
          <w:bCs/>
          <w:color w:val="auto"/>
          <w:kern w:val="2"/>
          <w:sz w:val="28"/>
          <w:szCs w:val="28"/>
          <w:highlight w:val="none"/>
          <w:lang w:val="en-US" w:eastAsia="zh-CN" w:bidi="ar-SA"/>
        </w:rPr>
        <w:t>..................................................................................61</w:t>
      </w:r>
      <w:r>
        <w:rPr>
          <w:rFonts w:hint="default" w:ascii="Times New Roman" w:hAnsi="Times New Roman" w:eastAsia="方正楷体简体" w:cs="Times New Roman"/>
          <w:b w:val="0"/>
          <w:bCs/>
          <w:color w:val="auto"/>
          <w:kern w:val="2"/>
          <w:sz w:val="28"/>
          <w:szCs w:val="28"/>
          <w:highlight w:val="none"/>
          <w:lang w:val="en-US" w:eastAsia="zh-CN" w:bidi="ar-SA"/>
        </w:rPr>
        <w:t xml:space="preserve"> </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p>
    <w:p w14:paraId="7C144567">
      <w:pPr>
        <w:pStyle w:val="4"/>
        <w:tabs>
          <w:tab w:val="right" w:leader="dot" w:pos="7835"/>
        </w:tabs>
        <w:spacing w:before="85" w:line="220" w:lineRule="auto"/>
        <w:ind w:firstLine="280" w:firstLineChars="100"/>
        <w:jc w:val="both"/>
        <w:rPr>
          <w:rFonts w:hint="eastAsia"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"bookmark8"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10</w:t>
      </w:r>
      <w:r>
        <w:rPr>
          <w:rFonts w:hint="default" w:ascii="Times New Roman" w:hAnsi="Times New Roman" w:eastAsia="方正楷体简体" w:cs="Times New Roman"/>
          <w:b w:val="0"/>
          <w:bCs/>
          <w:color w:val="auto"/>
          <w:kern w:val="2"/>
          <w:sz w:val="28"/>
          <w:szCs w:val="28"/>
          <w:highlight w:val="none"/>
          <w:lang w:val="en-US" w:eastAsia="zh-CN" w:bidi="ar-SA"/>
        </w:rPr>
        <w:t xml:space="preserve"> . </w:t>
      </w:r>
      <w:r>
        <w:rPr>
          <w:rFonts w:hint="eastAsia" w:ascii="Times New Roman" w:hAnsi="Times New Roman" w:eastAsia="方正楷体简体" w:cs="Times New Roman"/>
          <w:b w:val="0"/>
          <w:bCs/>
          <w:color w:val="auto"/>
          <w:kern w:val="2"/>
          <w:sz w:val="28"/>
          <w:szCs w:val="28"/>
          <w:highlight w:val="none"/>
          <w:lang w:val="en-US" w:eastAsia="zh-CN" w:bidi="ar-SA"/>
        </w:rPr>
        <w:t>雅安市</w:t>
      </w:r>
      <w:r>
        <w:rPr>
          <w:rFonts w:hint="default" w:ascii="Times New Roman" w:hAnsi="Times New Roman" w:eastAsia="方正楷体简体" w:cs="Times New Roman"/>
          <w:b w:val="0"/>
          <w:bCs/>
          <w:color w:val="auto"/>
          <w:kern w:val="2"/>
          <w:sz w:val="28"/>
          <w:szCs w:val="28"/>
          <w:highlight w:val="none"/>
          <w:lang w:val="en-US" w:eastAsia="zh-CN" w:bidi="ar-SA"/>
        </w:rPr>
        <w:t>:</w:t>
      </w:r>
      <w:r>
        <w:rPr>
          <w:rFonts w:hint="eastAsia" w:ascii="Times New Roman" w:hAnsi="Times New Roman" w:eastAsia="方正楷体简体" w:cs="Times New Roman"/>
          <w:b w:val="0"/>
          <w:bCs/>
          <w:color w:val="auto"/>
          <w:kern w:val="2"/>
          <w:sz w:val="28"/>
          <w:szCs w:val="28"/>
          <w:highlight w:val="none"/>
          <w:lang w:val="en-US" w:eastAsia="zh-CN" w:bidi="ar-SA"/>
        </w:rPr>
        <w:t>关于实施二孩三孩育儿补贴项目的</w:t>
      </w:r>
    </w:p>
    <w:p w14:paraId="7413B5DA">
      <w:pPr>
        <w:pStyle w:val="4"/>
        <w:tabs>
          <w:tab w:val="right" w:leader="dot" w:pos="7835"/>
        </w:tabs>
        <w:spacing w:before="85" w:line="220"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t xml:space="preserve">调研报告 </w:t>
      </w:r>
      <w:r>
        <w:rPr>
          <w:rFonts w:hint="eastAsia" w:ascii="Times New Roman" w:hAnsi="Times New Roman" w:eastAsia="方正楷体简体" w:cs="Times New Roman"/>
          <w:b w:val="0"/>
          <w:bCs/>
          <w:color w:val="auto"/>
          <w:kern w:val="2"/>
          <w:sz w:val="28"/>
          <w:szCs w:val="28"/>
          <w:highlight w:val="none"/>
          <w:lang w:val="en-US" w:eastAsia="zh-CN" w:bidi="ar-SA"/>
        </w:rPr>
        <w:t>.</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...............................................................................68</w:t>
      </w:r>
    </w:p>
    <w:p w14:paraId="75B82800">
      <w:pPr>
        <w:pStyle w:val="4"/>
        <w:spacing w:before="151" w:line="235"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"bookmark9"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11</w:t>
      </w:r>
      <w:r>
        <w:rPr>
          <w:rFonts w:hint="default" w:ascii="Times New Roman" w:hAnsi="Times New Roman" w:eastAsia="方正楷体简体" w:cs="Times New Roman"/>
          <w:b w:val="0"/>
          <w:bCs/>
          <w:color w:val="auto"/>
          <w:kern w:val="2"/>
          <w:sz w:val="28"/>
          <w:szCs w:val="28"/>
          <w:highlight w:val="none"/>
          <w:lang w:val="en-US" w:eastAsia="zh-CN" w:bidi="ar-SA"/>
        </w:rPr>
        <w:t xml:space="preserve"> . </w:t>
      </w:r>
      <w:r>
        <w:rPr>
          <w:rFonts w:hint="eastAsia" w:ascii="Times New Roman" w:hAnsi="Times New Roman" w:eastAsia="方正楷体简体" w:cs="Times New Roman"/>
          <w:b w:val="0"/>
          <w:bCs/>
          <w:color w:val="auto"/>
          <w:kern w:val="2"/>
          <w:sz w:val="28"/>
          <w:szCs w:val="28"/>
          <w:highlight w:val="none"/>
          <w:lang w:val="en-US" w:eastAsia="zh-CN" w:bidi="ar-SA"/>
        </w:rPr>
        <w:t>眉山市</w:t>
      </w:r>
      <w:r>
        <w:rPr>
          <w:rFonts w:hint="default" w:ascii="Times New Roman" w:hAnsi="Times New Roman" w:eastAsia="方正楷体简体" w:cs="Times New Roman"/>
          <w:b w:val="0"/>
          <w:bCs/>
          <w:color w:val="auto"/>
          <w:kern w:val="2"/>
          <w:sz w:val="28"/>
          <w:szCs w:val="28"/>
          <w:highlight w:val="none"/>
          <w:lang w:val="en-US" w:eastAsia="zh-CN" w:bidi="ar-SA"/>
        </w:rPr>
        <w:t>:</w:t>
      </w:r>
      <w:r>
        <w:rPr>
          <w:rFonts w:hint="eastAsia" w:ascii="Times New Roman" w:hAnsi="Times New Roman" w:eastAsia="方正楷体简体" w:cs="Times New Roman"/>
          <w:b w:val="0"/>
          <w:bCs/>
          <w:color w:val="auto"/>
          <w:kern w:val="2"/>
          <w:sz w:val="28"/>
          <w:szCs w:val="28"/>
          <w:highlight w:val="none"/>
          <w:lang w:val="en-US" w:eastAsia="zh-CN" w:bidi="ar-SA"/>
        </w:rPr>
        <w:t>关</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于加强三苏遗址遗迹保护利用的</w:t>
      </w:r>
    </w:p>
    <w:p w14:paraId="383E5B92">
      <w:pPr>
        <w:pStyle w:val="4"/>
        <w:tabs>
          <w:tab w:val="right" w:leader="dot" w:pos="7827"/>
        </w:tabs>
        <w:spacing w:before="129" w:line="220"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"bookmark9"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default" w:ascii="Times New Roman" w:hAnsi="Times New Roman" w:eastAsia="方正楷体简体" w:cs="Times New Roman"/>
          <w:b w:val="0"/>
          <w:bCs/>
          <w:color w:val="auto"/>
          <w:kern w:val="2"/>
          <w:sz w:val="28"/>
          <w:szCs w:val="28"/>
          <w:highlight w:val="none"/>
          <w:lang w:val="en-US" w:eastAsia="zh-CN" w:bidi="ar-SA"/>
        </w:rPr>
        <w:t xml:space="preserve">调研报告 </w:t>
      </w:r>
      <w:r>
        <w:rPr>
          <w:rFonts w:hint="eastAsia" w:ascii="Times New Roman" w:hAnsi="Times New Roman" w:eastAsia="方正楷体简体" w:cs="Times New Roman"/>
          <w:b w:val="0"/>
          <w:bCs/>
          <w:color w:val="auto"/>
          <w:kern w:val="2"/>
          <w:sz w:val="28"/>
          <w:szCs w:val="28"/>
          <w:highlight w:val="none"/>
          <w:lang w:val="en-US" w:eastAsia="zh-CN" w:bidi="ar-SA"/>
        </w:rPr>
        <w:t>.</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...............................................................................74</w:t>
      </w:r>
    </w:p>
    <w:p w14:paraId="5B426A7D">
      <w:pPr>
        <w:pStyle w:val="4"/>
        <w:spacing w:before="160" w:line="235" w:lineRule="auto"/>
        <w:ind w:firstLine="280" w:firstLineChars="100"/>
        <w:jc w:val="both"/>
        <w:rPr>
          <w:rFonts w:hint="eastAsia"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"bookmark10"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12</w:t>
      </w:r>
      <w:r>
        <w:rPr>
          <w:rFonts w:hint="default" w:ascii="Times New Roman" w:hAnsi="Times New Roman" w:eastAsia="方正楷体简体" w:cs="Times New Roman"/>
          <w:b w:val="0"/>
          <w:bCs/>
          <w:color w:val="auto"/>
          <w:kern w:val="2"/>
          <w:sz w:val="28"/>
          <w:szCs w:val="28"/>
          <w:highlight w:val="none"/>
          <w:lang w:val="en-US" w:eastAsia="zh-CN" w:bidi="ar-SA"/>
        </w:rPr>
        <w:t xml:space="preserve">. </w:t>
      </w:r>
      <w:r>
        <w:rPr>
          <w:rFonts w:hint="eastAsia" w:ascii="Times New Roman" w:hAnsi="Times New Roman" w:eastAsia="方正楷体简体" w:cs="Times New Roman"/>
          <w:b w:val="0"/>
          <w:bCs/>
          <w:color w:val="auto"/>
          <w:kern w:val="2"/>
          <w:sz w:val="28"/>
          <w:szCs w:val="28"/>
          <w:highlight w:val="none"/>
          <w:lang w:val="en-US" w:eastAsia="zh-CN" w:bidi="ar-SA"/>
        </w:rPr>
        <w:t>阿坝州</w:t>
      </w:r>
      <w:r>
        <w:rPr>
          <w:rFonts w:hint="default" w:ascii="Times New Roman" w:hAnsi="Times New Roman" w:eastAsia="方正楷体简体" w:cs="Times New Roman"/>
          <w:b w:val="0"/>
          <w:bCs/>
          <w:color w:val="auto"/>
          <w:kern w:val="2"/>
          <w:sz w:val="28"/>
          <w:szCs w:val="28"/>
          <w:highlight w:val="none"/>
          <w:lang w:val="en-US" w:eastAsia="zh-CN" w:bidi="ar-SA"/>
        </w:rPr>
        <w:t xml:space="preserve">: </w:t>
      </w:r>
      <w:r>
        <w:rPr>
          <w:rFonts w:hint="eastAsia" w:ascii="Times New Roman" w:hAnsi="Times New Roman" w:eastAsia="方正楷体简体" w:cs="Times New Roman"/>
          <w:b w:val="0"/>
          <w:bCs/>
          <w:color w:val="auto"/>
          <w:kern w:val="2"/>
          <w:sz w:val="28"/>
          <w:szCs w:val="28"/>
          <w:highlight w:val="none"/>
          <w:lang w:val="en-US" w:eastAsia="zh-CN" w:bidi="ar-SA"/>
        </w:rPr>
        <w:t>关</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于广播体系建设与管理使用的</w:t>
      </w:r>
    </w:p>
    <w:p w14:paraId="193D70B3">
      <w:pPr>
        <w:pStyle w:val="4"/>
        <w:spacing w:before="160" w:line="235"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"bookmark10"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default" w:ascii="Times New Roman" w:hAnsi="Times New Roman" w:eastAsia="方正楷体简体" w:cs="Times New Roman"/>
          <w:b w:val="0"/>
          <w:bCs/>
          <w:color w:val="auto"/>
          <w:kern w:val="2"/>
          <w:sz w:val="28"/>
          <w:szCs w:val="28"/>
          <w:highlight w:val="none"/>
          <w:lang w:val="en-US" w:eastAsia="zh-CN" w:bidi="ar-SA"/>
        </w:rPr>
        <w:t xml:space="preserve">调研报告 </w:t>
      </w:r>
      <w:r>
        <w:rPr>
          <w:rFonts w:hint="eastAsia" w:ascii="Times New Roman" w:hAnsi="Times New Roman" w:eastAsia="方正楷体简体" w:cs="Times New Roman"/>
          <w:b w:val="0"/>
          <w:bCs/>
          <w:color w:val="auto"/>
          <w:kern w:val="2"/>
          <w:sz w:val="28"/>
          <w:szCs w:val="28"/>
          <w:highlight w:val="none"/>
          <w:lang w:val="en-US" w:eastAsia="zh-CN" w:bidi="ar-SA"/>
        </w:rPr>
        <w:t>.</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...............................................................................80</w:t>
      </w:r>
    </w:p>
    <w:p w14:paraId="47D9859C">
      <w:pPr>
        <w:pStyle w:val="2"/>
        <w:keepNext/>
        <w:keepLines w:val="0"/>
        <w:pageBreakBefore w:val="0"/>
        <w:widowControl w:val="0"/>
        <w:shd w:val="clear"/>
        <w:kinsoku/>
        <w:wordWrap/>
        <w:overflowPunct/>
        <w:topLinePunct w:val="0"/>
        <w:autoSpaceDE/>
        <w:autoSpaceDN/>
        <w:bidi w:val="0"/>
        <w:adjustRightInd/>
        <w:snapToGrid/>
        <w:spacing w:before="0" w:after="0" w:line="640" w:lineRule="exact"/>
        <w:jc w:val="center"/>
        <w:textAlignment w:val="auto"/>
        <w:rPr>
          <w:rFonts w:hint="default" w:ascii="Times New Roman" w:hAnsi="Times New Roman" w:eastAsia="方正楷体简体" w:cs="Times New Roman"/>
          <w:b/>
          <w:bCs w:val="0"/>
          <w:color w:val="auto"/>
          <w:kern w:val="2"/>
          <w:sz w:val="28"/>
          <w:szCs w:val="28"/>
          <w:highlight w:val="none"/>
          <w:lang w:val="en-US" w:eastAsia="zh-CN" w:bidi="ar-SA"/>
        </w:rPr>
      </w:pPr>
      <w:r>
        <w:rPr>
          <w:rFonts w:hint="eastAsia" w:ascii="Times New Roman" w:hAnsi="Times New Roman" w:eastAsia="方正黑体简体" w:cs="Times New Roman"/>
          <w:b/>
          <w:bCs w:val="0"/>
          <w:color w:val="auto"/>
          <w:sz w:val="28"/>
          <w:szCs w:val="28"/>
          <w:highlight w:val="none"/>
          <w:lang w:val="en-US" w:eastAsia="zh-CN"/>
        </w:rPr>
        <w:t>县级层面</w:t>
      </w:r>
    </w:p>
    <w:p w14:paraId="7DCAC562">
      <w:pPr>
        <w:pStyle w:val="4"/>
        <w:spacing w:before="160" w:line="235"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"bookmark11"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13</w:t>
      </w:r>
      <w:r>
        <w:rPr>
          <w:rFonts w:hint="default" w:ascii="Times New Roman" w:hAnsi="Times New Roman" w:eastAsia="方正楷体简体" w:cs="Times New Roman"/>
          <w:b w:val="0"/>
          <w:bCs/>
          <w:color w:val="auto"/>
          <w:kern w:val="2"/>
          <w:sz w:val="28"/>
          <w:szCs w:val="28"/>
          <w:highlight w:val="none"/>
          <w:lang w:val="en-US" w:eastAsia="zh-CN" w:bidi="ar-SA"/>
        </w:rPr>
        <w:t xml:space="preserve">. </w:t>
      </w:r>
      <w:r>
        <w:rPr>
          <w:rFonts w:hint="eastAsia" w:ascii="Times New Roman" w:hAnsi="Times New Roman" w:eastAsia="方正楷体简体" w:cs="Times New Roman"/>
          <w:b w:val="0"/>
          <w:bCs/>
          <w:color w:val="auto"/>
          <w:kern w:val="2"/>
          <w:sz w:val="28"/>
          <w:szCs w:val="28"/>
          <w:highlight w:val="none"/>
          <w:lang w:val="en-US" w:eastAsia="zh-CN" w:bidi="ar-SA"/>
        </w:rPr>
        <w:t>自贡市容县</w:t>
      </w:r>
      <w:r>
        <w:rPr>
          <w:rFonts w:hint="default" w:ascii="Times New Roman" w:hAnsi="Times New Roman" w:eastAsia="方正楷体简体" w:cs="Times New Roman"/>
          <w:b w:val="0"/>
          <w:bCs/>
          <w:color w:val="auto"/>
          <w:kern w:val="2"/>
          <w:sz w:val="28"/>
          <w:szCs w:val="28"/>
          <w:highlight w:val="none"/>
          <w:lang w:val="en-US" w:eastAsia="zh-CN" w:bidi="ar-SA"/>
        </w:rPr>
        <w:t>:</w:t>
      </w:r>
      <w:r>
        <w:rPr>
          <w:rFonts w:hint="eastAsia" w:ascii="Times New Roman" w:hAnsi="Times New Roman" w:eastAsia="方正楷体简体" w:cs="Times New Roman"/>
          <w:b w:val="0"/>
          <w:bCs/>
          <w:color w:val="auto"/>
          <w:kern w:val="2"/>
          <w:sz w:val="28"/>
          <w:szCs w:val="28"/>
          <w:highlight w:val="none"/>
          <w:lang w:val="en-US" w:eastAsia="zh-CN" w:bidi="ar-SA"/>
        </w:rPr>
        <w:t>关于县域医疗卫生次中心建设</w:t>
      </w:r>
      <w:r>
        <w:rPr>
          <w:rFonts w:hint="default" w:ascii="Times New Roman" w:hAnsi="Times New Roman" w:eastAsia="方正楷体简体" w:cs="Times New Roman"/>
          <w:b w:val="0"/>
          <w:bCs/>
          <w:color w:val="auto"/>
          <w:kern w:val="2"/>
          <w:sz w:val="28"/>
          <w:szCs w:val="28"/>
          <w:highlight w:val="none"/>
          <w:lang w:val="en-US" w:eastAsia="zh-CN" w:bidi="ar-SA"/>
        </w:rPr>
        <w:t>的</w:t>
      </w:r>
    </w:p>
    <w:p w14:paraId="144151BF">
      <w:pPr>
        <w:pStyle w:val="4"/>
        <w:spacing w:before="160" w:line="235"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t>调研报告</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.................................................................................86</w:t>
      </w:r>
    </w:p>
    <w:p w14:paraId="2CD37F8B">
      <w:pPr>
        <w:pStyle w:val="4"/>
        <w:spacing w:before="228" w:line="235"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"bookmark12"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14</w:t>
      </w:r>
      <w:r>
        <w:rPr>
          <w:rFonts w:hint="default" w:ascii="Times New Roman" w:hAnsi="Times New Roman" w:eastAsia="方正楷体简体" w:cs="Times New Roman"/>
          <w:b w:val="0"/>
          <w:bCs/>
          <w:color w:val="auto"/>
          <w:kern w:val="2"/>
          <w:sz w:val="28"/>
          <w:szCs w:val="28"/>
          <w:highlight w:val="none"/>
          <w:lang w:val="en-US" w:eastAsia="zh-CN" w:bidi="ar-SA"/>
        </w:rPr>
        <w:t xml:space="preserve">. </w:t>
      </w:r>
      <w:r>
        <w:rPr>
          <w:rFonts w:hint="eastAsia" w:ascii="Times New Roman" w:hAnsi="Times New Roman" w:eastAsia="方正楷体简体" w:cs="Times New Roman"/>
          <w:b w:val="0"/>
          <w:bCs/>
          <w:color w:val="auto"/>
          <w:kern w:val="2"/>
          <w:sz w:val="28"/>
          <w:szCs w:val="28"/>
          <w:highlight w:val="none"/>
          <w:lang w:val="en-US" w:eastAsia="zh-CN" w:bidi="ar-SA"/>
        </w:rPr>
        <w:t>广元市利州区</w:t>
      </w:r>
      <w:r>
        <w:rPr>
          <w:rFonts w:hint="default" w:ascii="Times New Roman" w:hAnsi="Times New Roman" w:eastAsia="方正楷体简体" w:cs="Times New Roman"/>
          <w:b w:val="0"/>
          <w:bCs/>
          <w:color w:val="auto"/>
          <w:kern w:val="2"/>
          <w:sz w:val="28"/>
          <w:szCs w:val="28"/>
          <w:highlight w:val="none"/>
          <w:lang w:val="en-US" w:eastAsia="zh-CN" w:bidi="ar-SA"/>
        </w:rPr>
        <w:t>:关于基层医疗卫生机构生存与转型的</w:t>
      </w:r>
    </w:p>
    <w:p w14:paraId="56C9FB3E">
      <w:pPr>
        <w:pStyle w:val="4"/>
        <w:spacing w:before="228" w:line="235" w:lineRule="auto"/>
        <w:ind w:firstLine="840" w:firstLineChars="3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t>调研报告</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.................................................................................92</w:t>
      </w:r>
    </w:p>
    <w:p w14:paraId="042003E0">
      <w:pPr>
        <w:pStyle w:val="4"/>
        <w:spacing w:before="229" w:line="237" w:lineRule="auto"/>
        <w:ind w:firstLine="280" w:firstLineChars="100"/>
        <w:jc w:val="both"/>
        <w:rPr>
          <w:rFonts w:hint="default" w:ascii="Times New Roman" w:hAnsi="Times New Roman" w:eastAsia="方正楷体简体" w:cs="Times New Roman"/>
          <w:b w:val="0"/>
          <w:bCs/>
          <w:color w:val="auto"/>
          <w:kern w:val="2"/>
          <w:sz w:val="28"/>
          <w:szCs w:val="28"/>
          <w:highlight w:val="none"/>
          <w:lang w:val="en-US" w:eastAsia="zh-CN" w:bidi="ar-SA"/>
        </w:rPr>
      </w:pP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"bookmark13"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eastAsia" w:ascii="Times New Roman" w:hAnsi="Times New Roman" w:eastAsia="方正楷体简体" w:cs="Times New Roman"/>
          <w:b w:val="0"/>
          <w:bCs/>
          <w:color w:val="auto"/>
          <w:kern w:val="2"/>
          <w:sz w:val="28"/>
          <w:szCs w:val="28"/>
          <w:highlight w:val="none"/>
          <w:lang w:val="en-US" w:eastAsia="zh-CN" w:bidi="ar-SA"/>
        </w:rPr>
        <w:t>15</w:t>
      </w:r>
      <w:r>
        <w:rPr>
          <w:rFonts w:hint="default" w:ascii="Times New Roman" w:hAnsi="Times New Roman" w:eastAsia="方正楷体简体" w:cs="Times New Roman"/>
          <w:b w:val="0"/>
          <w:bCs/>
          <w:color w:val="auto"/>
          <w:kern w:val="2"/>
          <w:sz w:val="28"/>
          <w:szCs w:val="28"/>
          <w:highlight w:val="none"/>
          <w:lang w:val="en-US" w:eastAsia="zh-CN" w:bidi="ar-SA"/>
        </w:rPr>
        <w:t xml:space="preserve">. </w:t>
      </w:r>
      <w:r>
        <w:rPr>
          <w:rFonts w:hint="eastAsia" w:ascii="Times New Roman" w:hAnsi="Times New Roman" w:eastAsia="方正楷体简体" w:cs="Times New Roman"/>
          <w:b w:val="0"/>
          <w:bCs/>
          <w:color w:val="auto"/>
          <w:kern w:val="2"/>
          <w:sz w:val="28"/>
          <w:szCs w:val="28"/>
          <w:highlight w:val="none"/>
          <w:lang w:val="en-US" w:eastAsia="zh-CN" w:bidi="ar-SA"/>
        </w:rPr>
        <w:t>遂宁市射洪市</w:t>
      </w:r>
      <w:r>
        <w:rPr>
          <w:rFonts w:hint="default" w:ascii="Times New Roman" w:hAnsi="Times New Roman" w:eastAsia="方正楷体简体" w:cs="Times New Roman"/>
          <w:b w:val="0"/>
          <w:bCs/>
          <w:color w:val="auto"/>
          <w:kern w:val="2"/>
          <w:sz w:val="28"/>
          <w:szCs w:val="28"/>
          <w:highlight w:val="none"/>
          <w:lang w:val="en-US" w:eastAsia="zh-CN" w:bidi="ar-SA"/>
        </w:rPr>
        <w:t>:</w:t>
      </w:r>
      <w:r>
        <w:rPr>
          <w:rFonts w:hint="eastAsia" w:ascii="Times New Roman" w:hAnsi="Times New Roman" w:eastAsia="方正楷体简体" w:cs="Times New Roman"/>
          <w:b w:val="0"/>
          <w:bCs/>
          <w:color w:val="auto"/>
          <w:kern w:val="2"/>
          <w:sz w:val="28"/>
          <w:szCs w:val="28"/>
          <w:highlight w:val="none"/>
          <w:lang w:val="en-US" w:eastAsia="zh-CN" w:bidi="ar-SA"/>
        </w:rPr>
        <w:t>关</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于射洪市工农文旅融合发展</w:t>
      </w:r>
      <w:r>
        <w:rPr>
          <w:rFonts w:hint="default" w:ascii="Times New Roman" w:hAnsi="Times New Roman" w:eastAsia="方正楷体简体" w:cs="Times New Roman"/>
          <w:b w:val="0"/>
          <w:bCs/>
          <w:color w:val="auto"/>
          <w:kern w:val="2"/>
          <w:sz w:val="28"/>
          <w:szCs w:val="28"/>
          <w:highlight w:val="none"/>
          <w:lang w:val="en-US" w:eastAsia="zh-CN" w:bidi="ar-SA"/>
        </w:rPr>
        <w:fldChar w:fldCharType="begin"/>
      </w:r>
      <w:r>
        <w:rPr>
          <w:rFonts w:hint="default" w:ascii="Times New Roman" w:hAnsi="Times New Roman" w:eastAsia="方正楷体简体" w:cs="Times New Roman"/>
          <w:b w:val="0"/>
          <w:bCs/>
          <w:color w:val="auto"/>
          <w:kern w:val="2"/>
          <w:sz w:val="28"/>
          <w:szCs w:val="28"/>
          <w:highlight w:val="none"/>
          <w:lang w:val="en-US" w:eastAsia="zh-CN" w:bidi="ar-SA"/>
        </w:rPr>
        <w:instrText xml:space="preserve"> HYPERLINK \l "bookmark13" </w:instrText>
      </w:r>
      <w:r>
        <w:rPr>
          <w:rFonts w:hint="default" w:ascii="Times New Roman" w:hAnsi="Times New Roman" w:eastAsia="方正楷体简体" w:cs="Times New Roman"/>
          <w:b w:val="0"/>
          <w:bCs/>
          <w:color w:val="auto"/>
          <w:kern w:val="2"/>
          <w:sz w:val="28"/>
          <w:szCs w:val="28"/>
          <w:highlight w:val="none"/>
          <w:lang w:val="en-US" w:eastAsia="zh-CN" w:bidi="ar-SA"/>
        </w:rPr>
        <w:fldChar w:fldCharType="separate"/>
      </w:r>
      <w:r>
        <w:rPr>
          <w:rFonts w:hint="default" w:ascii="Times New Roman" w:hAnsi="Times New Roman" w:eastAsia="方正楷体简体" w:cs="Times New Roman"/>
          <w:b w:val="0"/>
          <w:bCs/>
          <w:color w:val="auto"/>
          <w:kern w:val="2"/>
          <w:sz w:val="28"/>
          <w:szCs w:val="28"/>
          <w:highlight w:val="none"/>
          <w:lang w:val="en-US" w:eastAsia="zh-CN" w:bidi="ar-SA"/>
        </w:rPr>
        <w:t>的</w:t>
      </w:r>
    </w:p>
    <w:p w14:paraId="08E72D87">
      <w:pPr>
        <w:pStyle w:val="4"/>
        <w:spacing w:before="229" w:line="237" w:lineRule="auto"/>
        <w:ind w:firstLine="840" w:firstLineChars="300"/>
        <w:jc w:val="both"/>
        <w:rPr>
          <w:rFonts w:hint="default" w:ascii="Times New Roman" w:hAnsi="Times New Roman" w:eastAsia="方正楷体简体" w:cs="Times New Roman"/>
          <w:b w:val="0"/>
          <w:bCs/>
          <w:color w:val="auto"/>
          <w:sz w:val="28"/>
          <w:szCs w:val="28"/>
          <w:lang w:val="en-US"/>
        </w:rPr>
      </w:pPr>
      <w:r>
        <w:rPr>
          <w:rFonts w:hint="default" w:ascii="Times New Roman" w:hAnsi="Times New Roman" w:eastAsia="方正楷体简体" w:cs="Times New Roman"/>
          <w:b w:val="0"/>
          <w:bCs/>
          <w:color w:val="auto"/>
          <w:kern w:val="2"/>
          <w:sz w:val="28"/>
          <w:szCs w:val="28"/>
          <w:highlight w:val="none"/>
          <w:lang w:val="en-US" w:eastAsia="zh-CN" w:bidi="ar-SA"/>
        </w:rPr>
        <w:t xml:space="preserve">调研报告 </w:t>
      </w:r>
      <w:r>
        <w:rPr>
          <w:rFonts w:hint="eastAsia" w:ascii="Times New Roman" w:hAnsi="Times New Roman" w:eastAsia="方正楷体简体" w:cs="Times New Roman"/>
          <w:b w:val="0"/>
          <w:bCs/>
          <w:color w:val="auto"/>
          <w:kern w:val="2"/>
          <w:sz w:val="28"/>
          <w:szCs w:val="28"/>
          <w:highlight w:val="none"/>
          <w:lang w:val="en-US" w:eastAsia="zh-CN" w:bidi="ar-SA"/>
        </w:rPr>
        <w:t>................................................................................9</w:t>
      </w:r>
      <w:r>
        <w:rPr>
          <w:rFonts w:hint="default" w:ascii="Times New Roman" w:hAnsi="Times New Roman" w:eastAsia="方正楷体简体" w:cs="Times New Roman"/>
          <w:b w:val="0"/>
          <w:bCs/>
          <w:color w:val="auto"/>
          <w:kern w:val="2"/>
          <w:sz w:val="28"/>
          <w:szCs w:val="28"/>
          <w:highlight w:val="none"/>
          <w:lang w:val="en-US" w:eastAsia="zh-CN" w:bidi="ar-SA"/>
        </w:rPr>
        <w:fldChar w:fldCharType="end"/>
      </w:r>
      <w:r>
        <w:rPr>
          <w:rFonts w:hint="eastAsia" w:ascii="Times New Roman" w:hAnsi="Times New Roman" w:eastAsia="方正楷体简体" w:cs="Times New Roman"/>
          <w:b w:val="0"/>
          <w:bCs/>
          <w:color w:val="auto"/>
          <w:kern w:val="2"/>
          <w:sz w:val="28"/>
          <w:szCs w:val="28"/>
          <w:highlight w:val="none"/>
          <w:lang w:val="en-US" w:eastAsia="zh-CN" w:bidi="ar-SA"/>
        </w:rPr>
        <w:t>8</w:t>
      </w:r>
    </w:p>
    <w:p w14:paraId="105211CB">
      <w:pPr>
        <w:pStyle w:val="4"/>
        <w:tabs>
          <w:tab w:val="right" w:leader="dot" w:pos="7835"/>
        </w:tabs>
        <w:spacing w:before="85" w:line="220" w:lineRule="auto"/>
        <w:ind w:firstLine="560" w:firstLineChars="200"/>
        <w:jc w:val="center"/>
        <w:rPr>
          <w:rFonts w:hint="default" w:ascii="Times New Roman" w:hAnsi="Times New Roman" w:eastAsia="方正楷体简体" w:cs="Times New Roman"/>
          <w:b w:val="0"/>
          <w:bCs/>
          <w:color w:val="auto"/>
          <w:kern w:val="2"/>
          <w:sz w:val="28"/>
          <w:szCs w:val="28"/>
          <w:highlight w:val="none"/>
          <w:lang w:val="en-US" w:eastAsia="zh-CN" w:bidi="ar-SA"/>
        </w:rPr>
      </w:pPr>
    </w:p>
    <w:p w14:paraId="6699B565">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rPr>
      </w:pPr>
      <w:r>
        <w:rPr>
          <w:rFonts w:hint="default" w:ascii="Times New Roman" w:hAnsi="Times New Roman" w:eastAsia="方正仿宋简体" w:cs="Times New Roman"/>
          <w:b w:val="0"/>
          <w:bCs/>
          <w:color w:val="auto"/>
          <w:szCs w:val="28"/>
          <w:highlight w:val="none"/>
        </w:rPr>
        <w:fldChar w:fldCharType="end"/>
      </w:r>
      <w:r>
        <w:rPr>
          <w:rFonts w:hint="eastAsia" w:ascii="方正小标宋简体" w:hAnsi="方正小标宋简体" w:eastAsia="方正小标宋简体" w:cs="方正小标宋简体"/>
          <w:b w:val="0"/>
          <w:bCs/>
          <w:sz w:val="44"/>
          <w:szCs w:val="44"/>
        </w:rPr>
        <w:t>我省川剧保护传承情况研究</w:t>
      </w:r>
    </w:p>
    <w:p w14:paraId="369D9BCF">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四川省人大常委会重点课题调研组</w:t>
      </w:r>
    </w:p>
    <w:p w14:paraId="6AAEC6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2023年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省委将“振兴川剧”列入年度工作要点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重点推进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为贯彻落实省委工作部署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为川剧保护传承发展提供法治保障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省人大常委会将川剧保护传承作为调研类项目列入立法计划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与重庆市人大常委会协同推进立法进程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调研组深入成都、乐山等8个市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以及省川剧院、省艺术研究院等单位开展调研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赴重庆市学习考察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总结经验、检视问题、研究对策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形成如下报告</w:t>
      </w:r>
      <w:r>
        <w:rPr>
          <w:rFonts w:hint="eastAsia" w:ascii="仿宋_GB2312" w:hAnsi="仿宋_GB2312" w:eastAsia="仿宋_GB2312" w:cs="仿宋_GB2312"/>
          <w:b w:val="0"/>
          <w:bCs/>
          <w:sz w:val="32"/>
          <w:szCs w:val="32"/>
          <w:lang w:eastAsia="zh-CN"/>
        </w:rPr>
        <w:t>。</w:t>
      </w:r>
    </w:p>
    <w:p w14:paraId="6C5858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一、保护传承现状</w:t>
      </w:r>
    </w:p>
    <w:p w14:paraId="5963DF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川剧是巴蜀文化瑰宝</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得到邓小平、陈毅等老一辈无产阶级革命家的关怀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1982年四川省委提出“振兴川剧”口号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1983年川剧进京</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产生强烈社会影响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标志着川剧进入发展春天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随着经济社会迅猛发展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文化市场风格快速切换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川剧面临门庭冷落的尴尬局面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在省委振兴川剧的</w:t>
      </w:r>
      <w:r>
        <w:rPr>
          <w:rFonts w:hint="eastAsia" w:ascii="仿宋_GB2312" w:hAnsi="仿宋_GB2312" w:eastAsia="仿宋_GB2312" w:cs="仿宋_GB2312"/>
          <w:b w:val="0"/>
          <w:bCs/>
          <w:sz w:val="32"/>
          <w:szCs w:val="32"/>
          <w:u w:val="none"/>
        </w:rPr>
        <w:t>政</w:t>
      </w:r>
      <w:r>
        <w:rPr>
          <w:rFonts w:hint="eastAsia" w:ascii="仿宋_GB2312" w:hAnsi="仿宋_GB2312" w:eastAsia="仿宋_GB2312" w:cs="仿宋_GB2312"/>
          <w:b w:val="0"/>
          <w:bCs/>
          <w:sz w:val="32"/>
          <w:szCs w:val="32"/>
        </w:rPr>
        <w:t>策引领下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我省在剧目创作、人才培养、普及推广等方面取得积极成效</w:t>
      </w:r>
      <w:r>
        <w:rPr>
          <w:rFonts w:hint="eastAsia" w:ascii="仿宋_GB2312" w:hAnsi="仿宋_GB2312" w:eastAsia="仿宋_GB2312" w:cs="仿宋_GB2312"/>
          <w:b w:val="0"/>
          <w:bCs/>
          <w:sz w:val="32"/>
          <w:szCs w:val="32"/>
          <w:lang w:eastAsia="zh-CN"/>
        </w:rPr>
        <w:t>。</w:t>
      </w:r>
    </w:p>
    <w:p w14:paraId="10AE31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(一)抢救性保护情况。</w:t>
      </w:r>
      <w:r>
        <w:rPr>
          <w:rFonts w:hint="eastAsia" w:ascii="仿宋_GB2312" w:hAnsi="仿宋_GB2312" w:eastAsia="仿宋_GB2312" w:cs="仿宋_GB2312"/>
          <w:b w:val="0"/>
          <w:bCs/>
          <w:sz w:val="32"/>
          <w:szCs w:val="32"/>
        </w:rPr>
        <w:t>按照“保护为主、抢救第一”的要求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先后认定泸州河、嘉阳河等6个省级和48个市县级非遗代表性项目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首次开展全省地方戏曲剧种普查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基本摸清院团、人才、剧目等资源现状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开展对名家名段影像资料的数字化保护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留存舞台实践、艺术精粹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挖掘、整理、复排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巴山秀才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死水微澜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等经典剧目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确定古戏台等文物点位70处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建成成都川剧博物馆、泸州河川剧博物馆、魏明伦戏剧馆等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收藏戏曲服饰、绘画等可移动戏曲文物18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2万件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梳理戏曲唱本、剧本等古籍(文物)6000册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出版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川剧传统剧目集成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等著作100余部</w:t>
      </w:r>
      <w:r>
        <w:rPr>
          <w:rFonts w:hint="eastAsia" w:ascii="仿宋_GB2312" w:hAnsi="仿宋_GB2312" w:eastAsia="仿宋_GB2312" w:cs="仿宋_GB2312"/>
          <w:b w:val="0"/>
          <w:bCs/>
          <w:sz w:val="32"/>
          <w:szCs w:val="32"/>
          <w:lang w:eastAsia="zh-CN"/>
        </w:rPr>
        <w:t>。</w:t>
      </w:r>
    </w:p>
    <w:p w14:paraId="0F6078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(二)院团建设情况。</w:t>
      </w:r>
      <w:r>
        <w:rPr>
          <w:rFonts w:hint="eastAsia" w:ascii="仿宋_GB2312" w:hAnsi="仿宋_GB2312" w:eastAsia="仿宋_GB2312" w:cs="仿宋_GB2312"/>
          <w:b w:val="0"/>
          <w:bCs/>
          <w:sz w:val="32"/>
          <w:szCs w:val="32"/>
        </w:rPr>
        <w:t>截止2022年底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全省现存国有川剧院团28家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从业人员约2200人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与鼎盛时期1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7万人相比差距明显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改制转企演出团体6个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从业人员不足200人;现存民营团体36个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民间班社48个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从业人员约900人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全省有能力排演大戏、较为活跃的院团仅有省川剧院以及成都、宜宾、乐山、自贡、遂宁、内江、南充川剧团等8个</w:t>
      </w:r>
      <w:r>
        <w:rPr>
          <w:rFonts w:hint="eastAsia" w:ascii="仿宋_GB2312" w:hAnsi="仿宋_GB2312" w:eastAsia="仿宋_GB2312" w:cs="仿宋_GB2312"/>
          <w:b w:val="0"/>
          <w:bCs/>
          <w:sz w:val="32"/>
          <w:szCs w:val="32"/>
          <w:lang w:eastAsia="zh-CN"/>
        </w:rPr>
        <w:t>。</w:t>
      </w:r>
    </w:p>
    <w:p w14:paraId="43FFCD7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(三)人才培养情况。</w:t>
      </w:r>
      <w:r>
        <w:rPr>
          <w:rFonts w:hint="eastAsia" w:ascii="仿宋_GB2312" w:hAnsi="仿宋_GB2312" w:eastAsia="仿宋_GB2312" w:cs="仿宋_GB2312"/>
          <w:b w:val="0"/>
          <w:bCs/>
          <w:sz w:val="32"/>
          <w:szCs w:val="32"/>
        </w:rPr>
        <w:t>学科专业建设方面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全省有四川传媒学院等8所高校设置戏剧与影视等学科专业点20个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开设川剧史、川剧理论等专业课程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学历教育方面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目前仅四川艺术职业学院承担川剧学历教育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该院川剧系设中专、大专学历教育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全系教职工46人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年招生约70人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2008年以来累计培养毕业生500余名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学院培养了沈铁梅、陈智林等大批优秀艺术人才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全省80%以上的“梅花奖”得主出自川剧系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被誉为“川剧艺术家的摇篮”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领军人才培养方面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我省共有国家级非遗代表性传承人8人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省级非遗代表性传承人37人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建设两批共17个戏曲名家工作室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27人入选文旅部戏曲艺术人才“千人计划”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21人获“梅花奖”(其中4人获“二度梅”)</w:t>
      </w:r>
      <w:r>
        <w:rPr>
          <w:rFonts w:hint="eastAsia" w:ascii="仿宋_GB2312" w:hAnsi="仿宋_GB2312" w:eastAsia="仿宋_GB2312" w:cs="仿宋_GB2312"/>
          <w:b w:val="0"/>
          <w:bCs/>
          <w:sz w:val="32"/>
          <w:szCs w:val="32"/>
          <w:lang w:eastAsia="zh-CN"/>
        </w:rPr>
        <w:t>。</w:t>
      </w:r>
    </w:p>
    <w:p w14:paraId="7DF9DB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(四)剧目创作情况。</w:t>
      </w:r>
      <w:r>
        <w:rPr>
          <w:rFonts w:hint="eastAsia" w:ascii="仿宋_GB2312" w:hAnsi="仿宋_GB2312" w:eastAsia="仿宋_GB2312" w:cs="仿宋_GB2312"/>
          <w:b w:val="0"/>
          <w:bCs/>
          <w:sz w:val="32"/>
          <w:szCs w:val="32"/>
        </w:rPr>
        <w:t>各院团近年在复排传统剧目的同时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新创和改编剧目300余个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不断丰富剧目内容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创新表演形式、舞美、音乐等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探索融入现代元素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使川剧更符合观众审美需求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欲海狂潮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等5部作品获全国精神文明建设“五个一工程”奖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草鞋县令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(2022年)等4部作品获中国文化艺术文华奖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另有多部作品获中宣部、文旅部戏剧类重要奖项</w:t>
      </w:r>
      <w:r>
        <w:rPr>
          <w:rFonts w:hint="eastAsia" w:ascii="仿宋_GB2312" w:hAnsi="仿宋_GB2312" w:eastAsia="仿宋_GB2312" w:cs="仿宋_GB2312"/>
          <w:b w:val="0"/>
          <w:bCs/>
          <w:sz w:val="32"/>
          <w:szCs w:val="32"/>
          <w:lang w:eastAsia="zh-CN"/>
        </w:rPr>
        <w:t>。</w:t>
      </w:r>
    </w:p>
    <w:p w14:paraId="4C4FC9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(五)理论研究情况。</w:t>
      </w:r>
      <w:r>
        <w:rPr>
          <w:rFonts w:hint="eastAsia" w:ascii="仿宋_GB2312" w:hAnsi="仿宋_GB2312" w:eastAsia="仿宋_GB2312" w:cs="仿宋_GB2312"/>
          <w:b w:val="0"/>
          <w:bCs/>
          <w:sz w:val="32"/>
          <w:szCs w:val="32"/>
        </w:rPr>
        <w:t>初步形成由史、志、论著等多层面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剧目、表演、舞美等多维度构成的川剧理论研究体系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对川剧艺术的创新发展提供理论支撑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历时10余年编纂出版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四川省志</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川剧志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系统梳理川剧发展历史、表演特色、声腔设计等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整理出版川剧理论书籍、工具书、专著等100余部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整理修复相关数据20T</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办有全国中文核心期刊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四川戏剧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持续深入进行学术研究</w:t>
      </w:r>
      <w:r>
        <w:rPr>
          <w:rFonts w:hint="eastAsia" w:ascii="仿宋_GB2312" w:hAnsi="仿宋_GB2312" w:eastAsia="仿宋_GB2312" w:cs="仿宋_GB2312"/>
          <w:b w:val="0"/>
          <w:bCs/>
          <w:sz w:val="32"/>
          <w:szCs w:val="32"/>
          <w:lang w:eastAsia="zh-CN"/>
        </w:rPr>
        <w:t>。</w:t>
      </w:r>
    </w:p>
    <w:p w14:paraId="53C8E9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(六)普及传播情况。</w:t>
      </w:r>
      <w:r>
        <w:rPr>
          <w:rFonts w:hint="eastAsia" w:ascii="仿宋_GB2312" w:hAnsi="仿宋_GB2312" w:eastAsia="仿宋_GB2312" w:cs="仿宋_GB2312"/>
          <w:b w:val="0"/>
          <w:bCs/>
          <w:sz w:val="32"/>
          <w:szCs w:val="32"/>
        </w:rPr>
        <w:t>先后举办6届川剧节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持续举办全省青年川剧演员比赛等专业赛事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成届次举办全省中小学川剧传习普及展演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推出“中国有川剧”“好戏连台”等川剧创演和赏析类节目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开设中国川剧网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推动川剧普及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各级政府将川剧列入公共文化服务购买目录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开展川剧进校园、进社区、进乡村等活动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近3年来年均组织演出7000余场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其中农村演出4386场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服务人(次)超过50万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自贡、乐山、遂宁等地川剧团开展进校园演出和川剧传习活动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打造川剧特色教育学校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开设戏曲美术课、表演课、形体操等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培养青少年爱川剧、学川剧</w:t>
      </w:r>
      <w:r>
        <w:rPr>
          <w:rFonts w:hint="eastAsia" w:ascii="仿宋_GB2312" w:hAnsi="仿宋_GB2312" w:eastAsia="仿宋_GB2312" w:cs="仿宋_GB2312"/>
          <w:b w:val="0"/>
          <w:bCs/>
          <w:sz w:val="32"/>
          <w:szCs w:val="32"/>
          <w:lang w:eastAsia="zh-CN"/>
        </w:rPr>
        <w:t>。</w:t>
      </w:r>
    </w:p>
    <w:p w14:paraId="118CCF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二、主要困难和问题</w:t>
      </w:r>
    </w:p>
    <w:p w14:paraId="1EA48A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调研发现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川剧保护传承还存在基础不牢、活力不足、人才断层、市场萎缩、投入不足等发展短板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与创造性转化、创新性发展的要求还有较大差距</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主要体现在</w:t>
      </w:r>
      <w:r>
        <w:rPr>
          <w:rFonts w:hint="eastAsia" w:ascii="仿宋_GB2312" w:hAnsi="仿宋_GB2312" w:eastAsia="仿宋_GB2312" w:cs="仿宋_GB2312"/>
          <w:b w:val="0"/>
          <w:bCs/>
          <w:sz w:val="32"/>
          <w:szCs w:val="32"/>
          <w:lang w:eastAsia="zh-CN"/>
        </w:rPr>
        <w:t>：</w:t>
      </w:r>
    </w:p>
    <w:p w14:paraId="7B4751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(一)阵地丢失严重。</w:t>
      </w:r>
      <w:r>
        <w:rPr>
          <w:rFonts w:hint="eastAsia" w:ascii="仿宋_GB2312" w:hAnsi="仿宋_GB2312" w:eastAsia="仿宋_GB2312" w:cs="仿宋_GB2312"/>
          <w:b w:val="0"/>
          <w:bCs/>
          <w:sz w:val="32"/>
          <w:szCs w:val="32"/>
        </w:rPr>
        <w:t>上世纪80年代川剧鼎盛时期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全省有专业川剧团130多个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随着我省文艺院团体制改革深化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川剧院团数量锐减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全省成建制的国有川剧院团仅28个、改制转企演出团体6个、民营团体36个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与河南省900多个豫剧团、浙江省400多个越剧团相比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差距较大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全省有6个市(州)没有国有院团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一些院团处于“有名无团、有团无戏”的空壳化窘境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大多数国有院团依赖财政补助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应对市场的能力较弱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创新发展的内生动力不足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等靠要思想严重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发展举步维艰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多数民营院团缺乏演出、排练场地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创作乏力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市场认可不高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长期在生存线挣扎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面临自然消亡的困境</w:t>
      </w:r>
      <w:r>
        <w:rPr>
          <w:rFonts w:hint="eastAsia" w:ascii="仿宋_GB2312" w:hAnsi="仿宋_GB2312" w:eastAsia="仿宋_GB2312" w:cs="仿宋_GB2312"/>
          <w:b w:val="0"/>
          <w:bCs/>
          <w:sz w:val="32"/>
          <w:szCs w:val="32"/>
          <w:lang w:eastAsia="zh-CN"/>
        </w:rPr>
        <w:t>。</w:t>
      </w:r>
    </w:p>
    <w:p w14:paraId="6A3C0A4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(二)人才青黄不接。</w:t>
      </w:r>
      <w:r>
        <w:rPr>
          <w:rFonts w:hint="eastAsia" w:ascii="仿宋_GB2312" w:hAnsi="仿宋_GB2312" w:eastAsia="仿宋_GB2312" w:cs="仿宋_GB2312"/>
          <w:b w:val="0"/>
          <w:bCs/>
          <w:sz w:val="32"/>
          <w:szCs w:val="32"/>
        </w:rPr>
        <w:t>一是断层问题严重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目前从事川剧行当的多为50岁以上艺人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知名作曲家大都在70岁以上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8名国家级代表性传承人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有3人去世;37名省级代表性传承人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已有8人去世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由于收入较低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难以养家糊口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川剧行业难以吸引或者留住年轻人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如果不能持续引入新人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川剧小型院团将逐渐消失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特别是随着老艺人淡出舞台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能上演的传统剧目将不断减少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一些唱腔、音乐、舞美等面临失传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二是结构不合理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编剧、导演、舞美、音乐、管理、营销等专业人才严重不足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制作人员缺口较大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严重制约发展潜力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据了解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全省28个国有院团中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16个院团没有编剧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17个院团没有导演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10个院团没有舞美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三是演员行当不齐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各院团偏重于引进和培养表演人才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表演人才中又重旦角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被形容为“一窝旦”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院团对须生、丑角、花脸等人才重视和培养不足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导致许多经典剧目无法排演</w:t>
      </w:r>
      <w:r>
        <w:rPr>
          <w:rFonts w:hint="eastAsia" w:ascii="仿宋_GB2312" w:hAnsi="仿宋_GB2312" w:eastAsia="仿宋_GB2312" w:cs="仿宋_GB2312"/>
          <w:b w:val="0"/>
          <w:bCs/>
          <w:sz w:val="32"/>
          <w:szCs w:val="32"/>
          <w:lang w:eastAsia="zh-CN"/>
        </w:rPr>
        <w:t>。</w:t>
      </w:r>
    </w:p>
    <w:p w14:paraId="7902666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(三)川剧市场极度萎缩。</w:t>
      </w:r>
      <w:r>
        <w:rPr>
          <w:rFonts w:hint="eastAsia" w:ascii="仿宋_GB2312" w:hAnsi="仿宋_GB2312" w:eastAsia="仿宋_GB2312" w:cs="仿宋_GB2312"/>
          <w:b w:val="0"/>
          <w:bCs/>
          <w:sz w:val="32"/>
          <w:szCs w:val="32"/>
        </w:rPr>
        <w:t>一是市场环境已经改变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在网络时代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文化形态日益多元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大众的审美习惯已经深刻改变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社交媒体、短视频等文化快餐大行其道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多样化的娱乐方式挤占了川剧的发展空间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二是未能有效吸引年轻观众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川剧观众需要培养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看懂川剧需要人生阅历、审美积累和文化常识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但很多年轻人从小看的是西方“大片”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热衷于打游戏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忙碌着当“做题家”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这样的文化积淀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很难看懂川剧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很难感悟到川剧的艺术魅力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调研发现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大多数基层剧场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在台上演的是60岁以上的老演员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在台下听的也是60岁以上的“老粉丝”</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中青年观众不愿走进剧场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川剧没人看、不想看、看不懂问题突出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三是未能与时俱进、推陈出新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川剧传统剧目在文化内涵、艺术表达等方面无法满足当代观众的审美需求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有的新创或改编剧目脱离现实生活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难以吸引观众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国有川剧团的获奖剧目在业界掌声雷动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坊间却反响平平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“叫好不叫座”的情况比较普遍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难以吸引社会资本参与市场化运营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多数院团近20年内没有排演过大型剧目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群众无高质量的新戏可看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与黄梅戏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天仙配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、豫剧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花木兰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、昆剧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牡丹亭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等经典剧目相比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川剧较少有脍炙人口、广为传唱的曲目</w:t>
      </w:r>
      <w:r>
        <w:rPr>
          <w:rFonts w:hint="eastAsia" w:ascii="仿宋_GB2312" w:hAnsi="仿宋_GB2312" w:eastAsia="仿宋_GB2312" w:cs="仿宋_GB2312"/>
          <w:b w:val="0"/>
          <w:bCs/>
          <w:sz w:val="32"/>
          <w:szCs w:val="32"/>
          <w:lang w:eastAsia="zh-CN"/>
        </w:rPr>
        <w:t>。</w:t>
      </w:r>
    </w:p>
    <w:p w14:paraId="7EC865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(四)经费投入不足。</w:t>
      </w:r>
      <w:r>
        <w:rPr>
          <w:rFonts w:hint="eastAsia" w:ascii="仿宋_GB2312" w:hAnsi="仿宋_GB2312" w:eastAsia="仿宋_GB2312" w:cs="仿宋_GB2312"/>
          <w:b w:val="0"/>
          <w:bCs/>
          <w:sz w:val="32"/>
          <w:szCs w:val="32"/>
        </w:rPr>
        <w:t>我省川剧院团大多为差额拨款单位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仅能维持基本运营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由于经费短缺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导致在大型演出、创作方面难有大的作为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2018年以来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我省艺术基金共资助川剧项目31项1301万元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与重庆市连续10年均投入3000万元相比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支持力度相对不足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对市县级小院团的经费扶持主要依靠地方政府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对民营院团的扶持基本没有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当前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多数市(州)振兴川剧还停留在文件中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缺乏真金白银的投入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调研发现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省艺术职业学院川剧系校舍为80年代修建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校内剧场年久失修无法使用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部分专业教学只能在室外和操场开展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省艺术研究院租住在简陋的民居里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其保存的数千册手抄剧本</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包括大量明、清、民国时期的孤本、善本</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因受经费和场地限制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缺乏专业保护条件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存在严重安全隐患</w:t>
      </w:r>
      <w:r>
        <w:rPr>
          <w:rFonts w:hint="eastAsia" w:ascii="仿宋_GB2312" w:hAnsi="仿宋_GB2312" w:eastAsia="仿宋_GB2312" w:cs="仿宋_GB2312"/>
          <w:b w:val="0"/>
          <w:bCs/>
          <w:sz w:val="32"/>
          <w:szCs w:val="32"/>
          <w:lang w:eastAsia="zh-CN"/>
        </w:rPr>
        <w:t>。</w:t>
      </w:r>
    </w:p>
    <w:p w14:paraId="150814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(五)政策法规有待健全。</w:t>
      </w:r>
      <w:r>
        <w:rPr>
          <w:rFonts w:hint="eastAsia" w:ascii="仿宋_GB2312" w:hAnsi="仿宋_GB2312" w:eastAsia="仿宋_GB2312" w:cs="仿宋_GB2312"/>
          <w:b w:val="0"/>
          <w:bCs/>
          <w:sz w:val="32"/>
          <w:szCs w:val="32"/>
        </w:rPr>
        <w:t>当前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川剧同其它地方戏曲一样面临困境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需要用法治手段破解发展难题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从全国来看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目前已有京剧、秦腔、昆剧、黄梅戏、粤剧等制定了不同层级的地方性法规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发挥了积极的法治保障作用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我省亟需在省级层面出台一部专门的地方性法规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对川剧保护传承的体制机制、阵地建设、人才队伍等作出明确规定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依法促进川剧保护传承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省级层面缺乏高效的统筹协调机制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各部门联动不够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未能有效整合资源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形成发展合力</w:t>
      </w:r>
      <w:r>
        <w:rPr>
          <w:rFonts w:hint="eastAsia" w:ascii="仿宋_GB2312" w:hAnsi="仿宋_GB2312" w:eastAsia="仿宋_GB2312" w:cs="仿宋_GB2312"/>
          <w:b w:val="0"/>
          <w:bCs/>
          <w:sz w:val="32"/>
          <w:szCs w:val="32"/>
          <w:lang w:eastAsia="zh-CN"/>
        </w:rPr>
        <w:t>。</w:t>
      </w:r>
    </w:p>
    <w:p w14:paraId="5958FC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三、对策建议</w:t>
      </w:r>
    </w:p>
    <w:p w14:paraId="2CF25B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川剧发展与新时代中国式现代化四川篇章的文化强省建设紧密相连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为贯彻落实习近平文化思想、习近平总书记来川视察重要指示精神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以及省委振兴川剧的决策部署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加快推进文化强省建设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提出以下建议</w:t>
      </w:r>
      <w:r>
        <w:rPr>
          <w:rFonts w:hint="eastAsia" w:ascii="仿宋_GB2312" w:hAnsi="仿宋_GB2312" w:eastAsia="仿宋_GB2312" w:cs="仿宋_GB2312"/>
          <w:b w:val="0"/>
          <w:bCs/>
          <w:sz w:val="32"/>
          <w:szCs w:val="32"/>
          <w:lang w:eastAsia="zh-CN"/>
        </w:rPr>
        <w:t>。</w:t>
      </w:r>
    </w:p>
    <w:p w14:paraId="118CF9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(一)加快推进川剧保护传承协同立法。</w:t>
      </w:r>
      <w:r>
        <w:rPr>
          <w:rFonts w:hint="eastAsia" w:ascii="仿宋_GB2312" w:hAnsi="仿宋_GB2312" w:eastAsia="仿宋_GB2312" w:cs="仿宋_GB2312"/>
          <w:b w:val="0"/>
          <w:bCs/>
          <w:sz w:val="32"/>
          <w:szCs w:val="32"/>
        </w:rPr>
        <w:t>建议尽快启动立法程序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加快推进川剧地方立法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依法推动我省川剧高质量发展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一是健全保护传承川剧的体制机制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坚持保护为主、抢救第一、合理利用、传承发展的原则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明确政府及部门职责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规范各方的权利义务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形成全社会重视川剧、关心支持川剧发展的生动局面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二是明确保护传承川剧的措施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加强川剧院团建设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完善人才培养和激励机制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支持川剧创作、演出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加大研究、普及力度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加强投入保障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提升川剧服务群众的水平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培育有利于川剧活起来、传下去的良好环境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三是推进与重庆市的协同立法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加强与重庆市人大常委会的联动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开展协同立法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推动建立相对统一、相互衔接的法规制度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解决共性问题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共同擦亮川剧这张川渝地区的文化名片</w:t>
      </w:r>
      <w:r>
        <w:rPr>
          <w:rFonts w:hint="eastAsia" w:ascii="仿宋_GB2312" w:hAnsi="仿宋_GB2312" w:eastAsia="仿宋_GB2312" w:cs="仿宋_GB2312"/>
          <w:b w:val="0"/>
          <w:bCs/>
          <w:sz w:val="32"/>
          <w:szCs w:val="32"/>
          <w:lang w:eastAsia="zh-CN"/>
        </w:rPr>
        <w:t>。</w:t>
      </w:r>
    </w:p>
    <w:p w14:paraId="49E101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(二)加强川剧院团发展</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建设主阵地。</w:t>
      </w:r>
      <w:r>
        <w:rPr>
          <w:rFonts w:hint="eastAsia" w:ascii="仿宋_GB2312" w:hAnsi="仿宋_GB2312" w:eastAsia="仿宋_GB2312" w:cs="仿宋_GB2312"/>
          <w:b w:val="0"/>
          <w:bCs/>
          <w:sz w:val="32"/>
          <w:szCs w:val="32"/>
        </w:rPr>
        <w:t>推进振兴川剧五年行动计划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加强川剧院团建设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打造有专业演出队伍、有固定排演场所、有剧目创演能力、有充足经费保障的“四有”院团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筑牢振兴川剧的基础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一是优化全省川剧院团布局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坚持有所为、有所不为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突出重点、区分层次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深化以大院团为龙头、国有院团为骨干、其它院团为补充的院团布局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开展对全省川剧院团的评估定级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并动态调整;打造示范院团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对综合能力较强、定级较高的重点院团进行重点扶持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确保出精品、出名家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加强省川剧院、成都市川剧院、自贡市川剧团等大团建设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深化内部改革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强化服务功能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增强发展活力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加强川剧4大流派院团的建设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确保每个流派有较强的院团作为支撑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并发展壮大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鼓励有条件的地方、企业、团体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改造已有的文化设施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新建、改建一批小剧场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打造新时代的“戏窝子”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二是支持基层和民营川剧团体发展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推动各级文化专项资金扩大支持范围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通过购买服务、专项补助等方式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对基层川剧表演团体给予支持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推动基层川剧院团活下来、活起来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鼓励社会力量通过兴办实体、资助项目、赞助活动等形式参与扶持川剧传承发展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发挥政府引导和社会参与的综合效益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三是推动基层剧团人才充实乡镇文化队伍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借鉴绵阳等地做法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采取县招乡用等方式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聘请濒临流失的基层川剧人才兼任乡镇文化专干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既发挥其特长做好文化宣传工作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解决农村无戏可看的问题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又能促进基层保留川剧阵地和人才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四是解决制约院团发展的瓶颈问题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建议文旅、人社、编制、财政等部门研究出台有关政策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解决人员编制、职称评定、人员招录等瓶颈问题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落实税费优惠政策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强化激励支持举措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增强院团发展的内生动力</w:t>
      </w:r>
      <w:r>
        <w:rPr>
          <w:rFonts w:hint="eastAsia" w:ascii="仿宋_GB2312" w:hAnsi="仿宋_GB2312" w:eastAsia="仿宋_GB2312" w:cs="仿宋_GB2312"/>
          <w:b w:val="0"/>
          <w:bCs/>
          <w:sz w:val="32"/>
          <w:szCs w:val="32"/>
          <w:lang w:eastAsia="zh-CN"/>
        </w:rPr>
        <w:t>。</w:t>
      </w:r>
    </w:p>
    <w:p w14:paraId="62536A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(三)加强川剧队伍建设</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建优主力军。</w:t>
      </w:r>
      <w:r>
        <w:rPr>
          <w:rFonts w:hint="eastAsia" w:ascii="仿宋_GB2312" w:hAnsi="仿宋_GB2312" w:eastAsia="仿宋_GB2312" w:cs="仿宋_GB2312"/>
          <w:b w:val="0"/>
          <w:bCs/>
          <w:sz w:val="32"/>
          <w:szCs w:val="32"/>
        </w:rPr>
        <w:t>遵循川剧人才规律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优化人才结构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壮大人才队伍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推动形成“青蓝相继”“人才辈出”的良好局面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一是加强现有院团人才培养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坚持以剧育人、以演育人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加强中青年川剧专业人才培养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培养一批能挑大梁、演大戏的青年“新秀”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指导、支持院团建立“生、旦、净、末、丑”行当齐全、年龄结构合理的演员队伍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加强创作人才和理论人才培养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造就一批新生代川剧创作和理论人才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二是着力培养专业人才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支持省内高校加强学科建设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强化川剧导演、编剧、音乐等紧缺专业人才培养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参考其他地方剧种做法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探索建立“中专＋大专＋本科”多层次学历教育模式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打通川剧研究生培养通道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对川剧表演专业学生实行免学费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落实生均拨款制度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深化产教融合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连通讲台舞台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促进学演共生共长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三是培养领军人才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做实川剧名角、名导演、名编剧推广计划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做强川剧名家工作室、名家传艺工程等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培养一批德艺双馨的川剧领军人才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发挥示范引领作用</w:t>
      </w:r>
      <w:r>
        <w:rPr>
          <w:rFonts w:hint="eastAsia" w:ascii="仿宋_GB2312" w:hAnsi="仿宋_GB2312" w:eastAsia="仿宋_GB2312" w:cs="仿宋_GB2312"/>
          <w:b w:val="0"/>
          <w:bCs/>
          <w:sz w:val="32"/>
          <w:szCs w:val="32"/>
          <w:lang w:eastAsia="zh-CN"/>
        </w:rPr>
        <w:t>。</w:t>
      </w:r>
    </w:p>
    <w:p w14:paraId="728DA4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(四)挖掘时代价值</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推动创新发展。</w:t>
      </w:r>
      <w:r>
        <w:rPr>
          <w:rFonts w:hint="eastAsia" w:ascii="仿宋_GB2312" w:hAnsi="仿宋_GB2312" w:eastAsia="仿宋_GB2312" w:cs="仿宋_GB2312"/>
          <w:b w:val="0"/>
          <w:bCs/>
          <w:sz w:val="32"/>
          <w:szCs w:val="32"/>
        </w:rPr>
        <w:t>在继承中发展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在发展中继承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不断挖掘川剧的艺术魅力、文化内涵、时代价值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推动川剧创造性转化、创新性发展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一是推动川剧贴近当代审美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挖掘川剧传统剧目中蕴含的时代精神和文化元素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着力创作老百姓喜闻乐见的川剧作品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让川剧照进现实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符合当代审美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用好戏、好角把观众请回来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二是推动剧目创作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按照“新创一批、整理改编一批、买断移植一批”思路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全面推进原创剧作的打造、传统剧本的改编和优秀剧目的移植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不断推出群众欢迎的优秀作品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三是加快川剧数字技术应用发展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贯彻落实国家文化数字化战略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创新性打造川剧资源数字化平台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推进川剧文物、经典IP的数字化保护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推动川剧创作、传播等数字化场景应用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助力活态传承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四是加强理论研究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建立川剧省级重点研究基地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整合跨学科研究力量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积极开展川剧历史渊源、艺术魅力、时代价值等理论研究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依托川剧节等重大节会平台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用好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四川戏剧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川剧与观众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等专业刊物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发挥省社科基金引领作用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形成一批有分量的研究成果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五是推动融合发展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坚持以文塑旅、以旅彰文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发掘充实川剧文旅资源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建立完整的川剧产业链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拓展川剧文化价值和市场规模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让川剧和川菜、川药、大熊猫一样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成为四川叫得响的文化名片</w:t>
      </w:r>
      <w:r>
        <w:rPr>
          <w:rFonts w:hint="eastAsia" w:ascii="仿宋_GB2312" w:hAnsi="仿宋_GB2312" w:eastAsia="仿宋_GB2312" w:cs="仿宋_GB2312"/>
          <w:b w:val="0"/>
          <w:bCs/>
          <w:sz w:val="32"/>
          <w:szCs w:val="32"/>
          <w:lang w:eastAsia="zh-CN"/>
        </w:rPr>
        <w:t>。</w:t>
      </w:r>
    </w:p>
    <w:p w14:paraId="68CC38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(五)加大投入保障</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拓展扶持范围。</w:t>
      </w:r>
      <w:r>
        <w:rPr>
          <w:rFonts w:hint="eastAsia" w:ascii="仿宋_GB2312" w:hAnsi="仿宋_GB2312" w:eastAsia="仿宋_GB2312" w:cs="仿宋_GB2312"/>
          <w:b w:val="0"/>
          <w:bCs/>
          <w:sz w:val="32"/>
          <w:szCs w:val="32"/>
        </w:rPr>
        <w:t>一是充分发挥财政资金投入的保障和引导作用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从硬件改造、设备更新、人才引进等方面重点支持社会影响较大、演出水平较高的院团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发挥龙头带动作用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设立振兴川剧专项资金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大力支持重点院团发展、重点项目建设、重大活动开展、人才队伍建设等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二是加大政府购买服务力度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打通财政资金向民营剧团延伸的通道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给予民营院团、班社一定的经费支持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积极扶持民营剧团演出、创作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特别是到农村、学校、社区、军营、工矿等为群众演出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让基层百姓有戏看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让民营剧团活下去、强起来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三是鼓励、引导社会资金进入戏曲演出市场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争取资金渠道多样化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支持优秀剧目申报国家、省级艺术基金等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推动川剧演出市场持续健康发展</w:t>
      </w:r>
      <w:r>
        <w:rPr>
          <w:rFonts w:hint="eastAsia" w:ascii="仿宋_GB2312" w:hAnsi="仿宋_GB2312" w:eastAsia="仿宋_GB2312" w:cs="仿宋_GB2312"/>
          <w:b w:val="0"/>
          <w:bCs/>
          <w:sz w:val="32"/>
          <w:szCs w:val="32"/>
          <w:lang w:eastAsia="zh-CN"/>
        </w:rPr>
        <w:t>。</w:t>
      </w:r>
    </w:p>
    <w:p w14:paraId="7B1FE7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(六)加大普及推广</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营造传承氛围。</w:t>
      </w:r>
      <w:r>
        <w:rPr>
          <w:rFonts w:hint="eastAsia" w:ascii="仿宋_GB2312" w:hAnsi="仿宋_GB2312" w:eastAsia="仿宋_GB2312" w:cs="仿宋_GB2312"/>
          <w:b w:val="0"/>
          <w:bCs/>
          <w:sz w:val="32"/>
          <w:szCs w:val="32"/>
        </w:rPr>
        <w:t>探索建设川剧振兴市(州)试点、县域试点和特色区域试点等方式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引导各地整合资源力量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加大川剧宣传和普及力度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让观众真正了解川剧、喜欢川剧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不断壮大观众群体、拓展川剧市场、优化川剧生态环境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一是强化宣传推广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打造川剧IP</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持续办好川剧艺术节、川剧电视大赛等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不断创新活动形式、优化活动内容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打造川剧对外宣传品牌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利用省艺术节、大运会等重要节会开展川剧普及体验活动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让更多的观众了解、喜爱川剧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鼓励通过平面传媒、影视、手机和互联网等媒介宣传和普及戏曲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让人民群众在川音川情中感受川剧的审美情趣和人文情怀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二是推进川剧演出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加大政府购买力度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把川剧纳入基本公共文化服务目录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支持川剧院团到基层为群众演出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推进川剧进农村、进学校、进社区、进军营、进工矿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开拓院团的演出空间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满足基层欣赏川剧的需求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支持川剧院团利用民俗节日在乡镇、村社演出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推进川剧与民俗风情相融合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加大川剧演出市场流通活力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完善川剧常态化商业演出机制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为川剧演出搭建更多舞台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不断扩大川剧的“粉丝团”“戏迷圈”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三是培养青少年“粉丝圈”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推动普通文科高校开设川剧艺术选修课、艺术类大专院校开设川剧艺术必修课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建设一批戏曲类青少年优秀传统文化传习基地和川剧艺术特色学校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坚持“活态传承”理念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构建非遗进校园美育模式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加强戏曲进校园、进教材等通识教育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鼓励各地各校编写川剧校本教材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把川剧作为素质教育的重要内容纳入课程和课后延时服务内容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让青少年学生了解川剧的文化魅力和艺术感染力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真正喜爱川剧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推动学术艺术教育创新发展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四是推动川剧“走出去”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落实党中央、国务院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成渝地区双城经济圈建设规划纲要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关于“高质量建设国家文化出口基地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支持川剧、彩灯等中国文化走出去”部署要求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加强川渝协作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联合创作排演精品剧目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联合展演展巡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推动川剧“走出去”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提升川剧的知名度、影响力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推动川剧讲好中国故事、传播好中国声音</w:t>
      </w:r>
      <w:r>
        <w:rPr>
          <w:rFonts w:hint="eastAsia" w:ascii="仿宋_GB2312" w:hAnsi="仿宋_GB2312" w:eastAsia="仿宋_GB2312" w:cs="仿宋_GB2312"/>
          <w:b w:val="0"/>
          <w:bCs/>
          <w:sz w:val="32"/>
          <w:szCs w:val="32"/>
          <w:lang w:eastAsia="zh-CN"/>
        </w:rPr>
        <w:t>。</w:t>
      </w:r>
    </w:p>
    <w:p w14:paraId="611799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p>
    <w:p w14:paraId="38B1F0F7">
      <w:pPr>
        <w:pStyle w:val="2"/>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b w:val="0"/>
          <w:bCs/>
          <w:sz w:val="32"/>
          <w:szCs w:val="32"/>
        </w:rPr>
      </w:pPr>
      <w:bookmarkStart w:id="0" w:name="_Toc26753"/>
    </w:p>
    <w:p w14:paraId="35E101C0">
      <w:pPr>
        <w:pStyle w:val="2"/>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b w:val="0"/>
          <w:bCs/>
          <w:sz w:val="32"/>
          <w:szCs w:val="32"/>
        </w:rPr>
      </w:pPr>
    </w:p>
    <w:p w14:paraId="41EA1123">
      <w:pPr>
        <w:pStyle w:val="2"/>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b w:val="0"/>
          <w:bCs/>
          <w:sz w:val="32"/>
          <w:szCs w:val="32"/>
        </w:rPr>
      </w:pPr>
    </w:p>
    <w:p w14:paraId="5175C131">
      <w:pPr>
        <w:pStyle w:val="2"/>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sz w:val="32"/>
          <w:szCs w:val="32"/>
        </w:rPr>
      </w:pPr>
    </w:p>
    <w:p w14:paraId="07C0A872">
      <w:pPr>
        <w:bidi w:val="0"/>
        <w:rPr>
          <w:rFonts w:hint="eastAsia"/>
          <w:b w:val="0"/>
          <w:bCs/>
        </w:rPr>
      </w:pPr>
    </w:p>
    <w:p w14:paraId="506EDB1C">
      <w:pPr>
        <w:pStyle w:val="2"/>
        <w:pageBreakBefore w:val="0"/>
        <w:widowControl w:val="0"/>
        <w:kinsoku/>
        <w:wordWrap/>
        <w:overflowPunct/>
        <w:topLinePunct w:val="0"/>
        <w:autoSpaceDE/>
        <w:autoSpaceDN/>
        <w:bidi w:val="0"/>
        <w:adjustRightInd/>
        <w:snapToGrid/>
        <w:spacing w:line="600" w:lineRule="exact"/>
        <w:jc w:val="both"/>
        <w:textAlignment w:val="auto"/>
        <w:rPr>
          <w:rFonts w:hint="eastAsia" w:ascii="仿宋_GB2312" w:hAnsi="仿宋_GB2312" w:eastAsia="仿宋_GB2312" w:cs="仿宋_GB2312"/>
          <w:b w:val="0"/>
          <w:bCs/>
          <w:sz w:val="32"/>
          <w:szCs w:val="32"/>
        </w:rPr>
      </w:pPr>
    </w:p>
    <w:p w14:paraId="17AB1521">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1B731AC5">
      <w:pPr>
        <w:bidi w:val="0"/>
        <w:rPr>
          <w:rFonts w:hint="eastAsia"/>
          <w:lang w:val="en-US" w:eastAsia="zh-CN"/>
        </w:rPr>
      </w:pPr>
    </w:p>
    <w:p w14:paraId="07D5F162">
      <w:pPr>
        <w:bidi w:val="0"/>
        <w:rPr>
          <w:rFonts w:hint="eastAsia"/>
          <w:lang w:val="en-US" w:eastAsia="zh-CN"/>
        </w:rPr>
      </w:pPr>
    </w:p>
    <w:p w14:paraId="2C7ED736">
      <w:pPr>
        <w:bidi w:val="0"/>
        <w:rPr>
          <w:rFonts w:hint="eastAsia"/>
          <w:lang w:val="en-US" w:eastAsia="zh-CN"/>
        </w:rPr>
      </w:pPr>
    </w:p>
    <w:p w14:paraId="300D2CE4">
      <w:pPr>
        <w:bidi w:val="0"/>
        <w:rPr>
          <w:rFonts w:hint="eastAsia"/>
          <w:lang w:val="en-US" w:eastAsia="zh-CN"/>
        </w:rPr>
      </w:pPr>
    </w:p>
    <w:p w14:paraId="4A04F0A6">
      <w:pPr>
        <w:bidi w:val="0"/>
        <w:rPr>
          <w:rFonts w:hint="eastAsia"/>
          <w:lang w:val="en-US" w:eastAsia="zh-CN"/>
        </w:rPr>
      </w:pPr>
    </w:p>
    <w:p w14:paraId="75FA5656">
      <w:pPr>
        <w:bidi w:val="0"/>
        <w:rPr>
          <w:rFonts w:hint="eastAsia"/>
          <w:lang w:val="en-US" w:eastAsia="zh-CN"/>
        </w:rPr>
      </w:pPr>
    </w:p>
    <w:p w14:paraId="5020151E">
      <w:pPr>
        <w:bidi w:val="0"/>
        <w:rPr>
          <w:rFonts w:hint="eastAsia" w:ascii="方正小标宋简体" w:hAnsi="方正小标宋简体" w:eastAsia="方正小标宋简体" w:cs="方正小标宋简体"/>
          <w:sz w:val="44"/>
          <w:szCs w:val="44"/>
          <w:lang w:val="en-US" w:eastAsia="zh-CN"/>
        </w:rPr>
      </w:pPr>
    </w:p>
    <w:p w14:paraId="6B8F52F7">
      <w:pPr>
        <w:bidi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关于推动蜀锦蜀绣高质量发展的调研报告</w:t>
      </w:r>
    </w:p>
    <w:p w14:paraId="1002A20E">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32"/>
          <w:szCs w:val="32"/>
          <w:lang w:val="en-US" w:eastAsia="zh-CN"/>
        </w:rPr>
      </w:pPr>
      <w:r>
        <w:rPr>
          <w:rFonts w:hint="eastAsia" w:ascii="方正小标宋简体" w:hAnsi="方正小标宋简体" w:eastAsia="方正小标宋简体" w:cs="方正小标宋简体"/>
          <w:b w:val="0"/>
          <w:bCs/>
          <w:sz w:val="32"/>
          <w:szCs w:val="32"/>
          <w:lang w:val="en-US" w:eastAsia="zh-CN"/>
        </w:rPr>
        <w:t>成都市人大常委会</w:t>
      </w:r>
      <w:bookmarkEnd w:id="0"/>
    </w:p>
    <w:p w14:paraId="73399E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sz w:val="32"/>
          <w:szCs w:val="32"/>
        </w:rPr>
        <w:t>一、基本情况</w:t>
      </w:r>
    </w:p>
    <w:p w14:paraId="3DB8C7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蜀锦于2009年入选联合国教科文组织人类非遗代表作名录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国家标准2017年批准实施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我市现有蜀锦企业8家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从业人员70余人;市级以上(含市级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下同)代表性传承人9名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工艺美术大师12名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技能大师工作室1个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年总产值948万元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蜀绣在四大名绣中针法最丰富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较其他三大名绣早1000年以上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地方标准2012年批准实施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国家标准已立项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我市现有蜀绣企业51家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从业人员2000余人;省级以上代表性传承人34名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工艺美术大师93名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技能大师工作室12个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年总产值1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47亿元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蜀锦蜀绣都是国家级非遗项目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“国家地理标志产品”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目前面临发展瓶颈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与其他三大名锦</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t>(云锦、宋锦、壮锦)、三大名绣(苏绣、湘绣、粤绣)的差距进一步拉大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在全国市场中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苏绣占有率达80%</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蜀绣占有率仅5%</w:t>
      </w:r>
      <w:r>
        <w:rPr>
          <w:rFonts w:hint="eastAsia" w:ascii="仿宋_GB2312" w:hAnsi="仿宋_GB2312" w:eastAsia="仿宋_GB2312" w:cs="仿宋_GB2312"/>
          <w:b w:val="0"/>
          <w:bCs/>
          <w:sz w:val="32"/>
          <w:szCs w:val="32"/>
          <w:lang w:eastAsia="zh-CN"/>
        </w:rPr>
        <w:t>。</w:t>
      </w:r>
    </w:p>
    <w:p w14:paraId="4F0ED2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习近平总书记2018年2月12日亲临成都郫都区视察时强调:“要在款式花色上多研发、设计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蜀绣作为国礼送出去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让中国的传统非遗文化走向世界”。近年来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成都市人大常委会深入践行习近平文化思想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组成专门的调研组通过市内实地调研、召开专题研讨会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赴苏州市学习考察先进经验等方式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对我市蜀锦蜀绣传承发展存在的问题进行分析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提出工作建议。</w:t>
      </w:r>
    </w:p>
    <w:p w14:paraId="2F5DF1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二、现状及存在的主要问题</w:t>
      </w:r>
    </w:p>
    <w:p w14:paraId="2D46F4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(一)对蜀锦蜀绣的价值认识不够</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在城市文化品牌建设中的作用未充分体现。</w:t>
      </w:r>
      <w:r>
        <w:rPr>
          <w:rFonts w:hint="eastAsia" w:ascii="仿宋_GB2312" w:hAnsi="仿宋_GB2312" w:eastAsia="仿宋_GB2312" w:cs="仿宋_GB2312"/>
          <w:b w:val="0"/>
          <w:bCs/>
          <w:sz w:val="32"/>
          <w:szCs w:val="32"/>
        </w:rPr>
        <w:t>一是对蜀锦蜀绣历史文化价值和时代价值认识不够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对产业发展扶持不够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没有将其作为专项工作来抓。二是没有系统规划蜀锦蜀绣发展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产业发展处于自生自灭状态。三是市级有关部门协调联动不够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未形成推动蜀锦蜀绣发展合力。</w:t>
      </w:r>
    </w:p>
    <w:p w14:paraId="1A1174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(二)市场主体散小弱</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产业链条未形成。</w:t>
      </w:r>
      <w:r>
        <w:rPr>
          <w:rFonts w:hint="eastAsia" w:ascii="仿宋_GB2312" w:hAnsi="仿宋_GB2312" w:eastAsia="仿宋_GB2312" w:cs="仿宋_GB2312"/>
          <w:b w:val="0"/>
          <w:bCs/>
          <w:sz w:val="32"/>
          <w:szCs w:val="32"/>
        </w:rPr>
        <w:t>一是现有锦绣产业集聚载体的集聚力、影响力、辐射力还不够。二是行业头部企业实力不强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蜀锦年产值最高的成都蜀锦织绣有限责任公司2022年总产值仅579万元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蜀绣年产值最高的成都蜀都绣娘刺绣专业合作社2022年总产值仅2200万元。三是专业市场未形成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青羊区锦绣工场现有蜀锦蜀绣商家13家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青羊区文殊坊现有蜀锦蜀绣商家5家。四是协作发展链条缺失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包装设计、检测认证、图样打印、仓储物流、宣传营销等蜀锦蜀绣产业链配套服务没有形成体系。</w:t>
      </w:r>
    </w:p>
    <w:p w14:paraId="26F969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(三)技艺传承后继乏人</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产业发展人才匮乏。</w:t>
      </w:r>
      <w:r>
        <w:rPr>
          <w:rFonts w:hint="eastAsia" w:ascii="仿宋_GB2312" w:hAnsi="仿宋_GB2312" w:eastAsia="仿宋_GB2312" w:cs="仿宋_GB2312"/>
          <w:b w:val="0"/>
          <w:bCs/>
          <w:sz w:val="32"/>
          <w:szCs w:val="32"/>
        </w:rPr>
        <w:t>一是行业领军人才缺乏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国家级代表性传承人、行业头部企业负责人、</w:t>
      </w:r>
    </w:p>
    <w:p w14:paraId="729FF37F">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行业协会组织的引领作用发挥不明显;高层次人才政策尚未落地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对获评更高级荣誉、职称的人才和引进高层次人才缺乏支持措施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二是传承队伍后继乏人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行业缺乏留住青年人的机制、措施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三是人才信息共享平台未建立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研发设计、生产管理、市场营销、传播推广等人才缺乏协作渠道和平台</w:t>
      </w:r>
      <w:r>
        <w:rPr>
          <w:rFonts w:hint="eastAsia" w:ascii="仿宋_GB2312" w:hAnsi="仿宋_GB2312" w:eastAsia="仿宋_GB2312" w:cs="仿宋_GB2312"/>
          <w:b w:val="0"/>
          <w:bCs/>
          <w:sz w:val="32"/>
          <w:szCs w:val="32"/>
          <w:lang w:eastAsia="zh-CN"/>
        </w:rPr>
        <w:t>。</w:t>
      </w:r>
    </w:p>
    <w:p w14:paraId="123856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(四)支持政策缺失</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工作合力未形成</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一是市级层面缺乏系统扶持政策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现有政策零散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没有形成集合效应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二是市级相关专项资金对蜀锦蜀绣产业发展支持力度不够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市级文旅产业发展等专项资金对蜀绣企业支持额度较小、频次不高</w:t>
      </w:r>
      <w:r>
        <w:rPr>
          <w:rFonts w:hint="eastAsia" w:ascii="仿宋_GB2312" w:hAnsi="仿宋_GB2312" w:eastAsia="仿宋_GB2312" w:cs="仿宋_GB2312"/>
          <w:b w:val="0"/>
          <w:bCs/>
          <w:sz w:val="32"/>
          <w:szCs w:val="32"/>
          <w:lang w:eastAsia="zh-CN"/>
        </w:rPr>
        <w:t>。</w:t>
      </w:r>
    </w:p>
    <w:p w14:paraId="672CF2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三、工作建议</w:t>
      </w:r>
    </w:p>
    <w:p w14:paraId="25F9DA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加快构建“双基地一中心一展会”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形成蜀锦蜀绣传承发展“211”新格局(“双基地”即锦门蜀锦、安靖蜀绣双基地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“一中心”即蜀锦蜀绣产学研协同创新中心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“一展会”即中国成都丝路锦绣博览会)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实现“四个一”发展目标(即:一批优质企业、一批领军人才、一批知名品牌、一批体验消费场景)</w:t>
      </w:r>
      <w:r>
        <w:rPr>
          <w:rFonts w:hint="eastAsia" w:ascii="仿宋_GB2312" w:hAnsi="仿宋_GB2312" w:eastAsia="仿宋_GB2312" w:cs="仿宋_GB2312"/>
          <w:b w:val="0"/>
          <w:bCs/>
          <w:sz w:val="32"/>
          <w:szCs w:val="32"/>
          <w:lang w:eastAsia="zh-CN"/>
        </w:rPr>
        <w:t>。</w:t>
      </w:r>
    </w:p>
    <w:p w14:paraId="201FFF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(一)加快打造“双基地一中心一展会”</w:t>
      </w:r>
    </w:p>
    <w:p w14:paraId="46CC0E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1</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建强“双基地”:蜀锦蜀绣产业集聚基地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一是锦门蜀锦产业基地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支持锦门丝绸文化小镇及运营单位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采用市场化手段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打造集研发、生产、展示、销售、体验于一体的锦绣产业核心发展基地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力争到2028年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入驻的锦绣企业及相关商家达到100家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建立若干锦绣大师工作室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二是安靖蜀绣产业基地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支持安靖蜀绣文化创意公园打造产品创意、生产制造、人才培育、多元营销、品牌塑造五大公共服务平台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力争到2028年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入驻的蜀绣企业及相关商家达到30家</w:t>
      </w:r>
      <w:r>
        <w:rPr>
          <w:rFonts w:hint="eastAsia" w:ascii="仿宋_GB2312" w:hAnsi="仿宋_GB2312" w:eastAsia="仿宋_GB2312" w:cs="仿宋_GB2312"/>
          <w:b w:val="0"/>
          <w:bCs/>
          <w:sz w:val="32"/>
          <w:szCs w:val="32"/>
          <w:lang w:eastAsia="zh-CN"/>
        </w:rPr>
        <w:t>。</w:t>
      </w:r>
    </w:p>
    <w:p w14:paraId="497F15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建优“一中心”:蜀锦蜀绣产学研协同创新中心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依托成都纺织高等专科学校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建设锦绣产学研联合实验室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采用项目扶持方式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打造蜀锦蜀绣继续教育中心、研发中心、数字化保护应用与传播中心</w:t>
      </w:r>
      <w:r>
        <w:rPr>
          <w:rFonts w:hint="eastAsia" w:ascii="仿宋_GB2312" w:hAnsi="仿宋_GB2312" w:eastAsia="仿宋_GB2312" w:cs="仿宋_GB2312"/>
          <w:b w:val="0"/>
          <w:bCs/>
          <w:sz w:val="32"/>
          <w:szCs w:val="32"/>
          <w:lang w:eastAsia="zh-CN"/>
        </w:rPr>
        <w:t>。</w:t>
      </w:r>
    </w:p>
    <w:p w14:paraId="7BCB6C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3</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打造“一展会”:中国成都丝路国际锦绣博览会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整合已有的“安靖国际刺绣艺术节”等锦绣活动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由市政府主办中国成都丝路锦绣博览会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汇聚国内外锦绣资源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搭建国际平台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扩大举办规模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将其打造成国际性锦绣品牌展会</w:t>
      </w:r>
      <w:r>
        <w:rPr>
          <w:rFonts w:hint="eastAsia" w:ascii="仿宋_GB2312" w:hAnsi="仿宋_GB2312" w:eastAsia="仿宋_GB2312" w:cs="仿宋_GB2312"/>
          <w:b w:val="0"/>
          <w:bCs/>
          <w:sz w:val="32"/>
          <w:szCs w:val="32"/>
          <w:lang w:eastAsia="zh-CN"/>
        </w:rPr>
        <w:t>。</w:t>
      </w:r>
    </w:p>
    <w:p w14:paraId="2F96B0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(二)加快培育一批优质企业</w:t>
      </w:r>
    </w:p>
    <w:p w14:paraId="4309BE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lang w:val="en-US" w:eastAsia="zh-CN"/>
        </w:rPr>
        <w:t>1.</w:t>
      </w:r>
      <w:r>
        <w:rPr>
          <w:rFonts w:hint="eastAsia" w:ascii="仿宋_GB2312" w:hAnsi="仿宋_GB2312" w:eastAsia="仿宋_GB2312" w:cs="仿宋_GB2312"/>
          <w:b w:val="0"/>
          <w:bCs/>
          <w:sz w:val="32"/>
          <w:szCs w:val="32"/>
        </w:rPr>
        <w:t>培育链主企业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一是遴选行业内有实力的龙头企业作为链主企业进行孵化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支持其整合行业资源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带动蜀锦蜀绣原料、设计、生产、营销等环节的企业成链发展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二是支持链主企业开展技术攻关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提升蜀锦纹制工艺、织造工艺水平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三是加大对链主企业的金融扶持力度</w:t>
      </w:r>
      <w:r>
        <w:rPr>
          <w:rFonts w:hint="eastAsia" w:ascii="仿宋_GB2312" w:hAnsi="仿宋_GB2312" w:eastAsia="仿宋_GB2312" w:cs="仿宋_GB2312"/>
          <w:b w:val="0"/>
          <w:bCs/>
          <w:sz w:val="32"/>
          <w:szCs w:val="32"/>
          <w:lang w:eastAsia="zh-CN"/>
        </w:rPr>
        <w:t>。</w:t>
      </w:r>
    </w:p>
    <w:p w14:paraId="58943E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着力强链补链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重点培育原料、设计、制造、物流、渠道、电商及服饰、箱包相关成品等全产业链中单项突出的优质企业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引进练染、外框等产业链中的域外优质企业</w:t>
      </w:r>
      <w:r>
        <w:rPr>
          <w:rFonts w:hint="eastAsia" w:ascii="仿宋_GB2312" w:hAnsi="仿宋_GB2312" w:eastAsia="仿宋_GB2312" w:cs="仿宋_GB2312"/>
          <w:b w:val="0"/>
          <w:bCs/>
          <w:sz w:val="32"/>
          <w:szCs w:val="32"/>
          <w:lang w:eastAsia="zh-CN"/>
        </w:rPr>
        <w:t>。</w:t>
      </w:r>
    </w:p>
    <w:p w14:paraId="339F45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3</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引育行业领军人才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一是加强本土人才培育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举办“成都锦绣技能大赛”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选拔本土领军人才;完善人才公开公平推荐机制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支持国家级、省级代表性传承人、工艺美术大师、乡村工匠申报并给予一次性资金扶持;将蜀锦蜀绣人才纳入成都工匠认定范围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二是加强高端人才引进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对来蓉发展的锦绣高端人才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给予一次性资金扶持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力争新建10个大师工作室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新培养10名领军人物</w:t>
      </w:r>
      <w:r>
        <w:rPr>
          <w:rFonts w:hint="eastAsia" w:ascii="仿宋_GB2312" w:hAnsi="仿宋_GB2312" w:eastAsia="仿宋_GB2312" w:cs="仿宋_GB2312"/>
          <w:b w:val="0"/>
          <w:bCs/>
          <w:sz w:val="32"/>
          <w:szCs w:val="32"/>
          <w:lang w:eastAsia="zh-CN"/>
        </w:rPr>
        <w:t>。</w:t>
      </w:r>
    </w:p>
    <w:p w14:paraId="762396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4</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加大人才培养力度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一是实施传承人技能艺能提升计划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二是实施大师带徒计划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依托大师工作室培养高层次人才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三是实施职业教育计划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与市域内高等院校院校合作培养人才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实行有兴趣的学生与大师“师徒制”结对培养机制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四是实施实用技能培训计划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并纳入全市就业培训计划</w:t>
      </w:r>
      <w:r>
        <w:rPr>
          <w:rFonts w:hint="eastAsia" w:ascii="仿宋_GB2312" w:hAnsi="仿宋_GB2312" w:eastAsia="仿宋_GB2312" w:cs="仿宋_GB2312"/>
          <w:b w:val="0"/>
          <w:bCs/>
          <w:sz w:val="32"/>
          <w:szCs w:val="32"/>
          <w:lang w:eastAsia="zh-CN"/>
        </w:rPr>
        <w:t>。</w:t>
      </w:r>
    </w:p>
    <w:p w14:paraId="46FB71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(三)加快打造一批蜀锦蜀绣体验消费场景</w:t>
      </w:r>
    </w:p>
    <w:p w14:paraId="4F64C3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1</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打造一批蜀锦蜀绣体验空间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支持天府新区、双流区依托现有的蜀锦生产企业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改善生产条件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建设体验场景;支持青羊区打造蜀锦特色品牌;支持市城投集团将蜀锦蜀绣融入文殊坊规划建设;支持社会力量研发蜀锦蜀绣数字体验新场景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举办推介展示活动</w:t>
      </w:r>
      <w:r>
        <w:rPr>
          <w:rFonts w:hint="eastAsia" w:ascii="仿宋_GB2312" w:hAnsi="仿宋_GB2312" w:eastAsia="仿宋_GB2312" w:cs="仿宋_GB2312"/>
          <w:b w:val="0"/>
          <w:bCs/>
          <w:sz w:val="32"/>
          <w:szCs w:val="32"/>
          <w:lang w:eastAsia="zh-CN"/>
        </w:rPr>
        <w:t>。</w:t>
      </w:r>
    </w:p>
    <w:p w14:paraId="4EC0E2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培育一批蜀锦蜀绣消费场景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在重点景区和双机场设立锦绣展示消费点;培育认定一批蜀锦蜀绣主题社区、酒店、民宿、餐厅等消费场景;开设公交车专线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推广大熊猫基地—锦门丝绸文化小镇的休闲旅游线路</w:t>
      </w:r>
      <w:r>
        <w:rPr>
          <w:rFonts w:hint="eastAsia" w:ascii="仿宋_GB2312" w:hAnsi="仿宋_GB2312" w:eastAsia="仿宋_GB2312" w:cs="仿宋_GB2312"/>
          <w:b w:val="0"/>
          <w:bCs/>
          <w:sz w:val="32"/>
          <w:szCs w:val="32"/>
          <w:lang w:eastAsia="zh-CN"/>
        </w:rPr>
        <w:t>。</w:t>
      </w:r>
    </w:p>
    <w:p w14:paraId="6CD95E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3</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支持一批蜀锦蜀绣跨界融合项目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一是支持传媒影视、动漫游戏、音乐艺术等优质的文创市场主体挖掘利用蜀锦蜀绣资源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打造有蜀锦蜀绣元素的特色歌舞剧、影视剧、动漫游戏等作品产品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二是支持研学旅行、会展等优质市场主体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开展蜀锦蜀绣研学体验活动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举办蜀锦蜀绣会展活动</w:t>
      </w:r>
      <w:r>
        <w:rPr>
          <w:rFonts w:hint="eastAsia" w:ascii="仿宋_GB2312" w:hAnsi="仿宋_GB2312" w:eastAsia="仿宋_GB2312" w:cs="仿宋_GB2312"/>
          <w:b w:val="0"/>
          <w:bCs/>
          <w:sz w:val="32"/>
          <w:szCs w:val="32"/>
          <w:lang w:eastAsia="zh-CN"/>
        </w:rPr>
        <w:t>。</w:t>
      </w:r>
    </w:p>
    <w:p w14:paraId="47996B7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(四)加快打造一批知名品牌</w:t>
      </w:r>
    </w:p>
    <w:p w14:paraId="466A11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1</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打造一批蜀锦蜀绣企业品牌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一是支持链主企业注册“锦门锦绣”商标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提升蜀锦蜀绣企业品牌竞争力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二是对“一针一线”“蜀江锦院”“绣兰道”等锦绣企业品牌加大扶持力度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给予更多的品牌推广资金扶持</w:t>
      </w:r>
      <w:r>
        <w:rPr>
          <w:rFonts w:hint="eastAsia" w:ascii="仿宋_GB2312" w:hAnsi="仿宋_GB2312" w:eastAsia="仿宋_GB2312" w:cs="仿宋_GB2312"/>
          <w:b w:val="0"/>
          <w:bCs/>
          <w:sz w:val="32"/>
          <w:szCs w:val="32"/>
          <w:lang w:eastAsia="zh-CN"/>
        </w:rPr>
        <w:t>。</w:t>
      </w:r>
    </w:p>
    <w:p w14:paraId="3209A9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开发一批蜀锦蜀绣知名产品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一是支持蜀锦蜀绣企业和有关专业机构拓展设计题材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深入挖掘成都传统文化内涵并广泛运用到锦绣产品题材设计中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二是支持产品研发系列化、差异化、日用化发展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形成多样性产品结构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三是开拓产品定制市场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提供多层次的个性化蜀锦蜀绣产品</w:t>
      </w:r>
      <w:r>
        <w:rPr>
          <w:rFonts w:hint="eastAsia" w:ascii="仿宋_GB2312" w:hAnsi="仿宋_GB2312" w:eastAsia="仿宋_GB2312" w:cs="仿宋_GB2312"/>
          <w:b w:val="0"/>
          <w:bCs/>
          <w:sz w:val="32"/>
          <w:szCs w:val="32"/>
          <w:lang w:eastAsia="zh-CN"/>
        </w:rPr>
        <w:t>。</w:t>
      </w:r>
    </w:p>
    <w:p w14:paraId="73279E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3</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加强蜀锦蜀绣公共品牌推广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一是将蜀锦蜀绣宣传推广纳入成都城市宣传推广计划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二是将蜀锦蜀绣纳入全市对外文化交流计划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建立蜀锦蜀绣企业白名单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纳入外事等交流活动优先采购目录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三是加强蜀锦蜀绣新媒体推广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四是对锦绣企业参加国内外知名展会、投资推介会和推广活动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给予一次性资金补助</w:t>
      </w:r>
      <w:r>
        <w:rPr>
          <w:rFonts w:hint="eastAsia" w:ascii="仿宋_GB2312" w:hAnsi="仿宋_GB2312" w:eastAsia="仿宋_GB2312" w:cs="仿宋_GB2312"/>
          <w:b w:val="0"/>
          <w:bCs/>
          <w:sz w:val="32"/>
          <w:szCs w:val="32"/>
          <w:lang w:eastAsia="zh-CN"/>
        </w:rPr>
        <w:t>。</w:t>
      </w:r>
    </w:p>
    <w:p w14:paraId="1C852F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(五)加快制定配套法规政策完善工作机制</w:t>
      </w:r>
    </w:p>
    <w:p w14:paraId="5BDC99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1</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建立联席会议制度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由成都市推进“三城三都”建设工作领导小组牵头建立联席会议制度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定期召开工作会议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听取有关部门关于蜀锦蜀绣发展情况的报告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研究解决蜀锦蜀绣发展中的困难和问题</w:t>
      </w:r>
      <w:r>
        <w:rPr>
          <w:rFonts w:hint="eastAsia" w:ascii="仿宋_GB2312" w:hAnsi="仿宋_GB2312" w:eastAsia="仿宋_GB2312" w:cs="仿宋_GB2312"/>
          <w:b w:val="0"/>
          <w:bCs/>
          <w:sz w:val="32"/>
          <w:szCs w:val="32"/>
          <w:lang w:eastAsia="zh-CN"/>
        </w:rPr>
        <w:t>。</w:t>
      </w:r>
    </w:p>
    <w:p w14:paraId="30FFE1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健全完善法规政策制度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一是稳步推进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成都市非物质文化遗产条例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的制定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二是借鉴苏绣发展经验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研究制定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成都市促进蜀锦蜀绣高质量发展的若干措施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等政策文件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三是加强蜀锦保护传承的统筹协调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促进行业公平有序发展</w:t>
      </w:r>
      <w:r>
        <w:rPr>
          <w:rFonts w:hint="eastAsia" w:ascii="仿宋_GB2312" w:hAnsi="仿宋_GB2312" w:eastAsia="仿宋_GB2312" w:cs="仿宋_GB2312"/>
          <w:b w:val="0"/>
          <w:bCs/>
          <w:sz w:val="32"/>
          <w:szCs w:val="32"/>
          <w:lang w:eastAsia="zh-CN"/>
        </w:rPr>
        <w:t>。</w:t>
      </w:r>
    </w:p>
    <w:p w14:paraId="0D8460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3</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加大资金扶持力度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一是整合市级相关经费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设立非遗传承发展专项资金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重点支持蜀锦蜀绣保护传承和产业发展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二是整合包装若干重大项目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积极争取各类优惠政策和专项资金支持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三是建立蜀锦蜀绣企业及代表性传承人无形资产评估体系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鼓励金融机构对蜀锦蜀绣企业提供创新金融产品和服务</w:t>
      </w:r>
      <w:r>
        <w:rPr>
          <w:rFonts w:hint="eastAsia" w:ascii="仿宋_GB2312" w:hAnsi="仿宋_GB2312" w:eastAsia="仿宋_GB2312" w:cs="仿宋_GB2312"/>
          <w:b w:val="0"/>
          <w:bCs/>
          <w:sz w:val="32"/>
          <w:szCs w:val="32"/>
          <w:lang w:eastAsia="zh-CN"/>
        </w:rPr>
        <w:t>。</w:t>
      </w:r>
    </w:p>
    <w:p w14:paraId="110ADE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4</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加强知识产权保护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一是按照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蜀绣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国家(地方)标准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制定蜀锦蜀绣行业规范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对符合条件的蜀锦蜀绣企业进行认证和授牌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并在宣传推广上予以倾斜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二是支持高校与相关著作权单位、著作权人共同建立图案资源库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推进蜀锦蜀绣版权服务和授权业发展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三是加大版权保护力度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引导加强行业自律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维护蜀锦蜀绣产品形象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建设行业命</w:t>
      </w:r>
      <w:r>
        <w:rPr>
          <w:rFonts w:hint="eastAsia" w:ascii="仿宋_GB2312" w:hAnsi="仿宋_GB2312" w:eastAsia="仿宋_GB2312" w:cs="仿宋_GB2312"/>
          <w:b w:val="0"/>
          <w:bCs/>
          <w:sz w:val="32"/>
          <w:szCs w:val="32"/>
          <w:lang w:eastAsia="zh-CN"/>
        </w:rPr>
        <w:t>运共同体。</w:t>
      </w:r>
    </w:p>
    <w:p w14:paraId="517B6881">
      <w:pPr>
        <w:pStyle w:val="2"/>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b w:val="0"/>
          <w:bCs/>
          <w:sz w:val="32"/>
          <w:szCs w:val="32"/>
        </w:rPr>
      </w:pPr>
      <w:bookmarkStart w:id="1" w:name="_Toc22507"/>
    </w:p>
    <w:p w14:paraId="34E8D98E">
      <w:pPr>
        <w:pStyle w:val="2"/>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b w:val="0"/>
          <w:bCs/>
          <w:sz w:val="32"/>
          <w:szCs w:val="32"/>
        </w:rPr>
      </w:pPr>
    </w:p>
    <w:p w14:paraId="7FF9CA9F">
      <w:pPr>
        <w:bidi w:val="0"/>
        <w:rPr>
          <w:rFonts w:hint="eastAsia"/>
          <w:b w:val="0"/>
          <w:bCs/>
        </w:rPr>
      </w:pPr>
    </w:p>
    <w:p w14:paraId="6EDE8CC9">
      <w:pPr>
        <w:bidi w:val="0"/>
        <w:rPr>
          <w:rFonts w:hint="eastAsia"/>
          <w:b w:val="0"/>
          <w:bCs/>
        </w:rPr>
      </w:pPr>
    </w:p>
    <w:p w14:paraId="1EDC84AF">
      <w:pPr>
        <w:bidi w:val="0"/>
        <w:rPr>
          <w:rFonts w:hint="eastAsia"/>
          <w:b w:val="0"/>
          <w:bCs/>
        </w:rPr>
      </w:pPr>
    </w:p>
    <w:p w14:paraId="60001085">
      <w:pPr>
        <w:bidi w:val="0"/>
        <w:rPr>
          <w:rFonts w:hint="eastAsia"/>
          <w:b w:val="0"/>
          <w:bCs/>
        </w:rPr>
      </w:pPr>
    </w:p>
    <w:p w14:paraId="55A6D1D9">
      <w:pPr>
        <w:bidi w:val="0"/>
        <w:rPr>
          <w:rFonts w:hint="eastAsia"/>
          <w:b w:val="0"/>
          <w:bCs/>
        </w:rPr>
      </w:pPr>
    </w:p>
    <w:p w14:paraId="011CFA7D">
      <w:pPr>
        <w:bidi w:val="0"/>
        <w:rPr>
          <w:rFonts w:hint="eastAsia"/>
          <w:b w:val="0"/>
          <w:bCs/>
        </w:rPr>
      </w:pPr>
    </w:p>
    <w:p w14:paraId="3105F314">
      <w:pPr>
        <w:bidi w:val="0"/>
        <w:rPr>
          <w:rFonts w:hint="eastAsia"/>
          <w:b w:val="0"/>
          <w:bCs/>
        </w:rPr>
      </w:pPr>
    </w:p>
    <w:p w14:paraId="62592141">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p>
    <w:p w14:paraId="29DC5F56">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关于普惠托育可持续发展的调研报告</w:t>
      </w:r>
      <w:bookmarkEnd w:id="1"/>
    </w:p>
    <w:p w14:paraId="30B582B5">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32"/>
          <w:szCs w:val="32"/>
          <w:lang w:val="en-US" w:eastAsia="zh-CN"/>
        </w:rPr>
      </w:pPr>
      <w:bookmarkStart w:id="2" w:name="_Toc14830"/>
      <w:r>
        <w:rPr>
          <w:rFonts w:hint="eastAsia" w:ascii="方正小标宋简体" w:hAnsi="方正小标宋简体" w:eastAsia="方正小标宋简体" w:cs="方正小标宋简体"/>
          <w:b w:val="0"/>
          <w:bCs/>
          <w:sz w:val="32"/>
          <w:szCs w:val="32"/>
          <w:lang w:val="en-US" w:eastAsia="zh-CN"/>
        </w:rPr>
        <w:t>泸州市人大常委会</w:t>
      </w:r>
      <w:bookmarkEnd w:id="2"/>
    </w:p>
    <w:p w14:paraId="1F48EF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泸州市人大常委会高度重视优化生育政策促进人口长期均衡发展的决策部署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在连续三年开展调研和监督的基础上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于2024年5至7月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再次组建调研组深入全市7个区县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围绕“可持续发展”主题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开展全覆盖走访调研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发放调查问卷2万余份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收集意见建议192条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现将调研情况报告如下</w:t>
      </w:r>
      <w:r>
        <w:rPr>
          <w:rFonts w:hint="eastAsia" w:ascii="仿宋_GB2312" w:hAnsi="仿宋_GB2312" w:eastAsia="仿宋_GB2312" w:cs="仿宋_GB2312"/>
          <w:b w:val="0"/>
          <w:bCs/>
          <w:sz w:val="32"/>
          <w:szCs w:val="32"/>
          <w:lang w:eastAsia="zh-CN"/>
        </w:rPr>
        <w:t>。</w:t>
      </w:r>
    </w:p>
    <w:p w14:paraId="0AFEEC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一、普惠托育可持续发展态势良好</w:t>
      </w:r>
    </w:p>
    <w:p w14:paraId="6B23EA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(一)“小切口”带来“大突破”</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整体水平不断提升</w:t>
      </w:r>
    </w:p>
    <w:p w14:paraId="6ECC09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自2021年我市启动普惠托育试点工作以来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普惠托育“五类办托模式”逐步形成、全面落地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走出了一条具有泸州特色的普惠托育发展路径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一是托幼一体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以托补幼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引导有条件的幼儿园开办托育班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将空余学位转变为托位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为2—3岁幼儿提供保育照护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幼儿园收入水平整体提高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二是园区办托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效益多重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酒业园区采取“职工交一点、企业出一点、园区补一点”方式举办托育园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实现“小”托育助力“大”发展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三是社区办托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合作双赢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社区利用闲置房屋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采取购买服务或机构合作方式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开办灵活多样的托育服务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合作运营实现社会效益、经济效益双丰收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四是事业办托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保本微利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事业单位采取公办自营、公办民营等方式举办托班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为单位职工和特殊群体儿童提供福利性托育服务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运行经费收支平衡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五是企业办托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多方满意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企业单独或联合开展福利性办托和市场化普惠办托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为企业职工或附近居民提供托育服务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深受职工和群众欢迎</w:t>
      </w:r>
      <w:r>
        <w:rPr>
          <w:rFonts w:hint="eastAsia" w:ascii="仿宋_GB2312" w:hAnsi="仿宋_GB2312" w:eastAsia="仿宋_GB2312" w:cs="仿宋_GB2312"/>
          <w:b w:val="0"/>
          <w:bCs/>
          <w:sz w:val="32"/>
          <w:szCs w:val="32"/>
          <w:lang w:eastAsia="zh-CN"/>
        </w:rPr>
        <w:t>。</w:t>
      </w:r>
    </w:p>
    <w:p w14:paraId="56E993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(二)“小杠杆”撬动“大投入”</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溢出效应明显加强</w:t>
      </w:r>
    </w:p>
    <w:p w14:paraId="051053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一是成效突出赢得国省大支持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截止目前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我市共争取国省项目资金2</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62亿元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2022-2023年中央预算内投资托育建设项目1835万元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2023年首批中央财政支持普惠托育服务发展示范项目资金1亿元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2024年托育领域国债项目1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22亿元;2022-2024年省级普惠托育支持项目2187</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5万元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二是激励政策带动社会资本真投入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我市制定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泸州市普惠托育试点工作方案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等配套文件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明确一系列激励政策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设立普惠托育专项补助资金(市级每年500万、区县级每年300万)对提供普惠托育服务的机构进行专项补助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三年来累计落实补助资金1953</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23万元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吸引社会投资参与投资办托99家、撬动社会资本投入1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02亿元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建成普惠托育机构267家、较2021年增加245家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提供普惠托位14720个、较2021年增加13208个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带动就业3400余人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三是普惠托育创造企业发展好环境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我市创新“园企校地”共建共营模式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为企业职工提供了最适合、最实惠、最优质的普惠托育服务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深受企业好评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在留住人才方面发挥了积极作用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成为亲商爱商富商一流营商环境的金字招牌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更好促进了企业落户园区、扎根园区</w:t>
      </w:r>
      <w:r>
        <w:rPr>
          <w:rFonts w:hint="eastAsia" w:ascii="仿宋_GB2312" w:hAnsi="仿宋_GB2312" w:eastAsia="仿宋_GB2312" w:cs="仿宋_GB2312"/>
          <w:b w:val="0"/>
          <w:bCs/>
          <w:sz w:val="32"/>
          <w:szCs w:val="32"/>
          <w:lang w:eastAsia="zh-CN"/>
        </w:rPr>
        <w:t>。</w:t>
      </w:r>
    </w:p>
    <w:p w14:paraId="0E46F5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(三)“小支点”作用“大发展”</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价值地位不断提升</w:t>
      </w:r>
    </w:p>
    <w:p w14:paraId="2EE169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一是为国省立法提供泸州案例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我市托育服务在制度保障、人才培养、综合监管等方面的经验做法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为全国人大常委会托育服务立法提供了实践支撑和必要参考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为省人大常委会作出普惠托育服务有关决定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提供了案例和建议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二是为国省托育发展提供泸州经验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我市先后印发了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关于贯彻落实促进3岁以下婴幼儿照护服务发展工作的通知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等48个配套支持文件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在政策上既紧扣国省要求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又有所创新突破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先行先试确定了试点期间的普惠认定标准;市县两级每年设立专项补助资金;开展普惠托育星级认定等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为全省乃至国家普惠托育发展提供实践经验</w:t>
      </w:r>
      <w:r>
        <w:rPr>
          <w:rFonts w:hint="eastAsia" w:ascii="仿宋_GB2312" w:hAnsi="仿宋_GB2312" w:eastAsia="仿宋_GB2312" w:cs="仿宋_GB2312"/>
          <w:b w:val="0"/>
          <w:bCs/>
          <w:sz w:val="32"/>
          <w:szCs w:val="32"/>
          <w:lang w:eastAsia="zh-CN"/>
        </w:rPr>
        <w:t>。</w:t>
      </w:r>
    </w:p>
    <w:p w14:paraId="04A0FB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(四)“小实事”托起“大民生”</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托育需求持续向好</w:t>
      </w:r>
    </w:p>
    <w:p w14:paraId="7744AD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一是发展普惠托育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既是家事更是国事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发展普惠托育有效减轻了家庭生育、养育负担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有效激发了生育意愿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助推了我市人口发展形势止滑减缓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常住人口稳步增长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人口出生率止跌回升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人口负增长趋势减缓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二是发展普惠托育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既为家庭解忧更是民心所向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广大群众对“幼有所育、科学育儿”的需求日益增长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调查问卷显示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选择送托和考虑送托的家庭达52</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6%</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占比超过一半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双职工家庭或单职工家庭选择送托的达86</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67%</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66</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55%家庭希望选择公办普惠性托育机构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调查问卷显示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“安全就近、价格合理、服务优质”是大多数送托家庭选择托育机构最为关注的因素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关注优质、安全的占比达70%以上</w:t>
      </w:r>
      <w:r>
        <w:rPr>
          <w:rFonts w:hint="eastAsia" w:ascii="仿宋_GB2312" w:hAnsi="仿宋_GB2312" w:eastAsia="仿宋_GB2312" w:cs="仿宋_GB2312"/>
          <w:b w:val="0"/>
          <w:bCs/>
          <w:sz w:val="32"/>
          <w:szCs w:val="32"/>
          <w:lang w:eastAsia="zh-CN"/>
        </w:rPr>
        <w:t>。</w:t>
      </w:r>
    </w:p>
    <w:p w14:paraId="4EEAAB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二、普惠托育可持续发展的启示</w:t>
      </w:r>
    </w:p>
    <w:p w14:paraId="1C9662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(一)提高站位是可持续发展的首要前提。</w:t>
      </w:r>
      <w:r>
        <w:rPr>
          <w:rFonts w:hint="eastAsia" w:ascii="仿宋_GB2312" w:hAnsi="仿宋_GB2312" w:eastAsia="仿宋_GB2312" w:cs="仿宋_GB2312"/>
          <w:b w:val="0"/>
          <w:bCs/>
          <w:sz w:val="32"/>
          <w:szCs w:val="32"/>
        </w:rPr>
        <w:t>普惠托育是减轻家庭负担、解决职工“带娃难”的家事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也是提振生育、实现中华民族伟大复兴的国事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对促进社会公平、提高人口素质、推动可持续发展起着关键作用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这就要求要站在国家发展、民族兴衰的高度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充分认识普惠托育的重要性</w:t>
      </w:r>
      <w:r>
        <w:rPr>
          <w:rFonts w:hint="eastAsia" w:ascii="仿宋_GB2312" w:hAnsi="仿宋_GB2312" w:eastAsia="仿宋_GB2312" w:cs="仿宋_GB2312"/>
          <w:b w:val="0"/>
          <w:bCs/>
          <w:sz w:val="32"/>
          <w:szCs w:val="32"/>
          <w:lang w:eastAsia="zh-CN"/>
        </w:rPr>
        <w:t>。</w:t>
      </w:r>
    </w:p>
    <w:p w14:paraId="7B214D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(二)合力推动是可持续发展的关键所在。</w:t>
      </w:r>
      <w:r>
        <w:rPr>
          <w:rFonts w:hint="eastAsia" w:ascii="仿宋_GB2312" w:hAnsi="仿宋_GB2312" w:eastAsia="仿宋_GB2312" w:cs="仿宋_GB2312"/>
          <w:b w:val="0"/>
          <w:bCs/>
          <w:sz w:val="32"/>
          <w:szCs w:val="32"/>
        </w:rPr>
        <w:t>我市普惠托育试点启动以来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坚持“党委领导、人大助推、政府主导、社会协同、城乡统筹、分级负责、属地管理”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创新推出“1573”</w:t>
      </w:r>
      <w:r>
        <w:rPr>
          <w:rFonts w:hint="eastAsia" w:ascii="微软雅黑" w:hAnsi="微软雅黑" w:eastAsia="微软雅黑" w:cs="微软雅黑"/>
          <w:b w:val="0"/>
          <w:bCs/>
          <w:sz w:val="32"/>
          <w:szCs w:val="32"/>
        </w:rPr>
        <w:t>①</w:t>
      </w:r>
      <w:r>
        <w:rPr>
          <w:rFonts w:hint="eastAsia" w:ascii="仿宋_GB2312" w:hAnsi="仿宋_GB2312" w:eastAsia="仿宋_GB2312" w:cs="仿宋_GB2312"/>
          <w:b w:val="0"/>
          <w:bCs/>
          <w:sz w:val="32"/>
          <w:szCs w:val="32"/>
        </w:rPr>
        <w:t>普惠托育模式和“四个一”②依托在泸高校等加强人才培养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促进普惠托育从无到有、从有到优、快速增长</w:t>
      </w:r>
      <w:r>
        <w:rPr>
          <w:rFonts w:hint="eastAsia" w:ascii="仿宋_GB2312" w:hAnsi="仿宋_GB2312" w:eastAsia="仿宋_GB2312" w:cs="仿宋_GB2312"/>
          <w:b w:val="0"/>
          <w:bCs/>
          <w:sz w:val="32"/>
          <w:szCs w:val="32"/>
          <w:lang w:eastAsia="zh-CN"/>
        </w:rPr>
        <w:t>。</w:t>
      </w:r>
    </w:p>
    <w:p w14:paraId="4E2DC7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(三)政府引导是可持续发展的重要保障。</w:t>
      </w:r>
      <w:r>
        <w:rPr>
          <w:rFonts w:hint="eastAsia" w:ascii="仿宋_GB2312" w:hAnsi="仿宋_GB2312" w:eastAsia="仿宋_GB2312" w:cs="仿宋_GB2312"/>
          <w:b w:val="0"/>
          <w:bCs/>
          <w:sz w:val="32"/>
          <w:szCs w:val="32"/>
        </w:rPr>
        <w:t>政府通过制定政策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引导普惠托育向着正确方向健康发展;通过搭建平台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统筹各方面力量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促进改善硬件、提升能力、提高质量;通过制定完善相关标准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建立智慧服务系统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加强监督管理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确保普惠托育服务行业规范发展</w:t>
      </w:r>
      <w:r>
        <w:rPr>
          <w:rFonts w:hint="eastAsia" w:ascii="仿宋_GB2312" w:hAnsi="仿宋_GB2312" w:eastAsia="仿宋_GB2312" w:cs="仿宋_GB2312"/>
          <w:b w:val="0"/>
          <w:bCs/>
          <w:sz w:val="32"/>
          <w:szCs w:val="32"/>
          <w:lang w:eastAsia="zh-CN"/>
        </w:rPr>
        <w:t>。</w:t>
      </w:r>
    </w:p>
    <w:p w14:paraId="18E0EA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(四)市场运营是可持续发展的关键力量。</w:t>
      </w:r>
      <w:r>
        <w:rPr>
          <w:rFonts w:hint="eastAsia" w:ascii="仿宋_GB2312" w:hAnsi="仿宋_GB2312" w:eastAsia="仿宋_GB2312" w:cs="仿宋_GB2312"/>
          <w:b w:val="0"/>
          <w:bCs/>
          <w:sz w:val="32"/>
          <w:szCs w:val="32"/>
        </w:rPr>
        <w:t>市场运营能有效调节托育供需关系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实现资源有效配置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促使资源向效率较高、质量较好的托育机构流动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推动普惠托育行业持续向好发展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正是由于有为政府和有效市场的有机结合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以较小的财政投入和完善的激励政策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撬动社会资本进入普惠托育行业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才有效减轻了财政资金压力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促进了有序的市场运营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实现了经济效益和社会效益相统一</w:t>
      </w:r>
      <w:r>
        <w:rPr>
          <w:rFonts w:hint="eastAsia" w:ascii="仿宋_GB2312" w:hAnsi="仿宋_GB2312" w:eastAsia="仿宋_GB2312" w:cs="仿宋_GB2312"/>
          <w:b w:val="0"/>
          <w:bCs/>
          <w:sz w:val="32"/>
          <w:szCs w:val="32"/>
          <w:lang w:eastAsia="zh-CN"/>
        </w:rPr>
        <w:t>。</w:t>
      </w:r>
    </w:p>
    <w:p w14:paraId="6625CA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三、普惠托育可持续发展建议</w:t>
      </w:r>
    </w:p>
    <w:p w14:paraId="1B55788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当前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我市普惠托育工作取得显著成效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在全国、全省发挥了一定的示范引领作用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但也还存在一些短板和不足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如育儿理念不一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送托意愿不强;区域差异较大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托位分布不科学;托育成本较高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管理质效不优;整体合力不足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行业规范尚需完善等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提出如下建议:</w:t>
      </w:r>
    </w:p>
    <w:p w14:paraId="5D3DE8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(一)科学规划布局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高位推动发展。</w:t>
      </w:r>
      <w:r>
        <w:rPr>
          <w:rFonts w:hint="eastAsia" w:ascii="仿宋_GB2312" w:hAnsi="仿宋_GB2312" w:eastAsia="仿宋_GB2312" w:cs="仿宋_GB2312"/>
          <w:b w:val="0"/>
          <w:bCs/>
          <w:sz w:val="32"/>
          <w:szCs w:val="32"/>
        </w:rPr>
        <w:t>将托育服务纳入全市经济社会发展规划及相关专项规划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加强普惠育幼服务体系建设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结合人口分布、婴幼儿数量和托育需求等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区分县域差异、城乡差异、区位差异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合理调整托位要求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优化托育服务设施布局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科学设置服务半径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高质量推动普惠托育事业发展</w:t>
      </w:r>
      <w:r>
        <w:rPr>
          <w:rFonts w:hint="eastAsia" w:ascii="仿宋_GB2312" w:hAnsi="仿宋_GB2312" w:eastAsia="仿宋_GB2312" w:cs="仿宋_GB2312"/>
          <w:b w:val="0"/>
          <w:bCs/>
          <w:sz w:val="32"/>
          <w:szCs w:val="32"/>
          <w:lang w:eastAsia="zh-CN"/>
        </w:rPr>
        <w:t>。</w:t>
      </w:r>
    </w:p>
    <w:p w14:paraId="349F74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(二)加大宣传引导</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营造托育氛围。</w:t>
      </w:r>
      <w:r>
        <w:rPr>
          <w:rFonts w:hint="eastAsia" w:ascii="仿宋_GB2312" w:hAnsi="仿宋_GB2312" w:eastAsia="仿宋_GB2312" w:cs="仿宋_GB2312"/>
          <w:b w:val="0"/>
          <w:bCs/>
          <w:sz w:val="32"/>
          <w:szCs w:val="32"/>
        </w:rPr>
        <w:t>利用电视、广播、报纸、互联网等多种媒介宣传科学育儿知识、托育服务政策和托育机构情况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举办亲子活动、育儿讲座、健康咨询、研讨会和开放日等活动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建立家庭科学育儿指导服务站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形成“家庭为主、多方协调、保教一体”的托育服务系统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增强家庭对普惠托育服务的信任度和满意度</w:t>
      </w:r>
      <w:r>
        <w:rPr>
          <w:rFonts w:hint="eastAsia" w:ascii="仿宋_GB2312" w:hAnsi="仿宋_GB2312" w:eastAsia="仿宋_GB2312" w:cs="仿宋_GB2312"/>
          <w:b w:val="0"/>
          <w:bCs/>
          <w:sz w:val="32"/>
          <w:szCs w:val="32"/>
          <w:lang w:eastAsia="zh-CN"/>
        </w:rPr>
        <w:t>。</w:t>
      </w:r>
    </w:p>
    <w:p w14:paraId="317AAA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(三)降低托育成本</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激发有效需求。</w:t>
      </w:r>
      <w:r>
        <w:rPr>
          <w:rFonts w:hint="eastAsia" w:ascii="仿宋_GB2312" w:hAnsi="仿宋_GB2312" w:eastAsia="仿宋_GB2312" w:cs="仿宋_GB2312"/>
          <w:b w:val="0"/>
          <w:bCs/>
          <w:sz w:val="32"/>
          <w:szCs w:val="32"/>
        </w:rPr>
        <w:t>强化政策落实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降低综合成本</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实行合理定价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按照质量有保障、价格可承受、方便可及的普惠性导向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综合考虑当地居民收入水平、服务成本、合理利润等因素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将普惠托育服务价格列入收费目录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制定政府指导价</w:t>
      </w:r>
      <w:r>
        <w:rPr>
          <w:rFonts w:hint="eastAsia" w:ascii="仿宋_GB2312" w:hAnsi="仿宋_GB2312" w:eastAsia="仿宋_GB2312" w:cs="仿宋_GB2312"/>
          <w:b w:val="0"/>
          <w:bCs/>
          <w:sz w:val="32"/>
          <w:szCs w:val="32"/>
          <w:lang w:eastAsia="zh-CN"/>
        </w:rPr>
        <w:t>。</w:t>
      </w:r>
    </w:p>
    <w:p w14:paraId="64FE3B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(四)强化部门联动</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形成工作合力。</w:t>
      </w:r>
      <w:r>
        <w:rPr>
          <w:rFonts w:hint="eastAsia" w:ascii="仿宋_GB2312" w:hAnsi="仿宋_GB2312" w:eastAsia="仿宋_GB2312" w:cs="仿宋_GB2312"/>
          <w:b w:val="0"/>
          <w:bCs/>
          <w:sz w:val="32"/>
          <w:szCs w:val="32"/>
        </w:rPr>
        <w:t>建议政府统筹制定普惠托育服务的总体规划和政策框架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鼓励和引导社会力量参与普惠托育服务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明确相关部门和消防救援机构职能任务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进一步健全综合协调机制和联席会议制度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建立问题反馈和持续改进机制</w:t>
      </w:r>
      <w:r>
        <w:rPr>
          <w:rFonts w:hint="eastAsia" w:ascii="仿宋_GB2312" w:hAnsi="仿宋_GB2312" w:eastAsia="仿宋_GB2312" w:cs="仿宋_GB2312"/>
          <w:b w:val="0"/>
          <w:bCs/>
          <w:sz w:val="32"/>
          <w:szCs w:val="32"/>
          <w:lang w:eastAsia="zh-CN"/>
        </w:rPr>
        <w:t>。</w:t>
      </w:r>
    </w:p>
    <w:p w14:paraId="02A42A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(五)强化法治保障</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规范托育发展。</w:t>
      </w:r>
      <w:r>
        <w:rPr>
          <w:rFonts w:hint="eastAsia" w:ascii="仿宋_GB2312" w:hAnsi="仿宋_GB2312" w:eastAsia="仿宋_GB2312" w:cs="仿宋_GB2312"/>
          <w:b w:val="0"/>
          <w:bCs/>
          <w:sz w:val="32"/>
          <w:szCs w:val="32"/>
        </w:rPr>
        <w:t>围绕贯彻落实省人大常委会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关于加快推进普惠托育服务体系建设的决定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由市人大常委会制定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泸州市人大常委会关于进一步推进普惠托育服务体系建设的决定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进一步确立婴幼儿享有托育服务的权利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明确政府、机构、家庭和个人在托育服务中的责任义务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以及各级政府在托育服务中的财政责任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为普惠托育服务提供法治保障</w:t>
      </w:r>
      <w:r>
        <w:rPr>
          <w:rFonts w:hint="eastAsia" w:ascii="仿宋_GB2312" w:hAnsi="仿宋_GB2312" w:eastAsia="仿宋_GB2312" w:cs="仿宋_GB2312"/>
          <w:b w:val="0"/>
          <w:bCs/>
          <w:sz w:val="32"/>
          <w:szCs w:val="32"/>
          <w:lang w:eastAsia="zh-CN"/>
        </w:rPr>
        <w:t>。</w:t>
      </w:r>
    </w:p>
    <w:p w14:paraId="540676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9C572E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246632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2D6DF8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14C5A8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190088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089223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44DE15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C9EE7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442314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05AEEC4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33B67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734A67F1">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关于三星堆国家文物保护利用示范区建设的调研报告</w:t>
      </w:r>
    </w:p>
    <w:p w14:paraId="7B6D40FC">
      <w:pPr>
        <w:keepNext w:val="0"/>
        <w:keepLines w:val="0"/>
        <w:pageBreakBefore w:val="0"/>
        <w:widowControl w:val="0"/>
        <w:kinsoku/>
        <w:wordWrap/>
        <w:overflowPunct/>
        <w:topLinePunct w:val="0"/>
        <w:autoSpaceDE/>
        <w:autoSpaceDN/>
        <w:bidi w:val="0"/>
        <w:adjustRightInd/>
        <w:snapToGrid/>
        <w:spacing w:line="600" w:lineRule="exact"/>
        <w:ind w:firstLine="2880" w:firstLineChars="900"/>
        <w:jc w:val="both"/>
        <w:textAlignment w:val="auto"/>
        <w:rPr>
          <w:rFonts w:hint="eastAsia" w:ascii="方正小标宋简体" w:hAnsi="方正小标宋简体" w:eastAsia="方正小标宋简体" w:cs="方正小标宋简体"/>
          <w:b w:val="0"/>
          <w:bCs/>
          <w:kern w:val="44"/>
          <w:sz w:val="32"/>
          <w:szCs w:val="32"/>
          <w:lang w:val="en-US" w:eastAsia="zh-CN" w:bidi="ar-SA"/>
        </w:rPr>
      </w:pPr>
      <w:r>
        <w:rPr>
          <w:rFonts w:hint="eastAsia" w:ascii="方正小标宋简体" w:hAnsi="方正小标宋简体" w:eastAsia="方正小标宋简体" w:cs="方正小标宋简体"/>
          <w:b w:val="0"/>
          <w:bCs/>
          <w:kern w:val="44"/>
          <w:sz w:val="32"/>
          <w:szCs w:val="32"/>
          <w:lang w:val="en-US" w:eastAsia="zh-CN" w:bidi="ar-SA"/>
        </w:rPr>
        <w:t>德阳市人大常委会</w:t>
      </w:r>
    </w:p>
    <w:p w14:paraId="59F5CF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41F104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创建三星堆国家文物保护利用示范区(以下简称为“示范区”)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是全面贯彻习近平总书记关于文物保护利用工作重要论述和重要指示批示精神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认真落实中央和省委、市委重大决策部署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打造世界古文明学术研究高地和世界旅游目的地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带动全市全域旅游发展的重要举措、重点工作、重大工程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根据工作安排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市人大教科文卫委对示范区建设情况进行了调研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现将调研情况报告如下</w:t>
      </w:r>
      <w:r>
        <w:rPr>
          <w:rFonts w:hint="eastAsia" w:ascii="仿宋_GB2312" w:hAnsi="仿宋_GB2312" w:eastAsia="仿宋_GB2312" w:cs="仿宋_GB2312"/>
          <w:b w:val="0"/>
          <w:bCs/>
          <w:sz w:val="32"/>
          <w:szCs w:val="32"/>
          <w:lang w:eastAsia="zh-CN"/>
        </w:rPr>
        <w:t>。</w:t>
      </w:r>
    </w:p>
    <w:p w14:paraId="5DB238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一、基本情况</w:t>
      </w:r>
    </w:p>
    <w:p w14:paraId="72169C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按照国家文物局的批复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三星堆国家文物保护利用示范区规划范围为“一江两岸三镇”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即三星堆遗址周边的湔江及其两岸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以及三星堆镇、高坪镇、南丰镇全域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总面积160平方公里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主要任务为:开展考古调查勘探发掘、高质量完成文物保护重点示范工程、完善博物馆和国家考古遗址公园的展示体系等10个方面58项任务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截至目前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累计投入160余亿元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其中三星堆博物馆新馆建设、三星堆旅游大道等39项工作任务全面完成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多学科课题研究、三星堆遗址价值比较研究等15项工作任务长期开展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建设三星堆考古与文物保护修复中心、遗址核心区拆迁、遗址保护展示和环境整治等4项工作任务有序推进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总体达到预期目标</w:t>
      </w:r>
      <w:r>
        <w:rPr>
          <w:rFonts w:hint="eastAsia" w:ascii="仿宋_GB2312" w:hAnsi="仿宋_GB2312" w:eastAsia="仿宋_GB2312" w:cs="仿宋_GB2312"/>
          <w:b w:val="0"/>
          <w:bCs/>
          <w:sz w:val="32"/>
          <w:szCs w:val="32"/>
          <w:lang w:eastAsia="zh-CN"/>
        </w:rPr>
        <w:t>。</w:t>
      </w:r>
    </w:p>
    <w:p w14:paraId="62CA31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二、主要成效及经验</w:t>
      </w:r>
    </w:p>
    <w:p w14:paraId="0A1D48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三星堆国家文物保护利用示范区在创建过程中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探索实践了大遗址保护利用的“七大模式”</w:t>
      </w:r>
      <w:r>
        <w:rPr>
          <w:rFonts w:hint="eastAsia" w:ascii="仿宋_GB2312" w:hAnsi="仿宋_GB2312" w:eastAsia="仿宋_GB2312" w:cs="仿宋_GB2312"/>
          <w:b w:val="0"/>
          <w:bCs/>
          <w:sz w:val="32"/>
          <w:szCs w:val="32"/>
          <w:lang w:eastAsia="zh-CN"/>
        </w:rPr>
        <w:t>。</w:t>
      </w:r>
    </w:p>
    <w:p w14:paraId="0805B68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(一)跨层级联动的省地共建模式</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建立提级统筹的组织体系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成立由省委常委、宣传部部长任组长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分管副省长为副组长的示范区创建工作领导小组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建立专地协同的工作机构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在省文物考古院、广汉三星堆博物馆基础上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省文物局增设三星堆研究院;市县增设三星堆遗址管委会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建立层层倾斜的保障机制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省市县三级均将“创建三星堆国家文物保护利用示范区”写入党代会报告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纳入“十四五”规划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列为预算内资金、专项债券资金优先支持项目</w:t>
      </w:r>
      <w:r>
        <w:rPr>
          <w:rFonts w:hint="eastAsia" w:ascii="仿宋_GB2312" w:hAnsi="仿宋_GB2312" w:eastAsia="仿宋_GB2312" w:cs="仿宋_GB2312"/>
          <w:b w:val="0"/>
          <w:bCs/>
          <w:sz w:val="32"/>
          <w:szCs w:val="32"/>
          <w:lang w:eastAsia="zh-CN"/>
        </w:rPr>
        <w:t>。</w:t>
      </w:r>
    </w:p>
    <w:p w14:paraId="02D00B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(二)多学科集成的科技考古模式</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推行多团队合作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联合中国社科院、北京大学等国内74家科研院校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聚集考古学、历史学、物理学等相关领域学者开展集智攻关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推行多技术应用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建设野外考古实验室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在全世界首次使用集信息提取、图像资料采集、载人发掘等功能于一体的考古发掘舱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创建微环境实时调控系统、应急分析保护实验室等考古发掘现场应急保护平台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实现边发掘边保护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推行多角度研究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构建三星堆文化与青铜文明研究数据库</w:t>
      </w:r>
      <w:r>
        <w:rPr>
          <w:rFonts w:hint="eastAsia" w:ascii="仿宋_GB2312" w:hAnsi="仿宋_GB2312" w:eastAsia="仿宋_GB2312" w:cs="仿宋_GB2312"/>
          <w:b w:val="0"/>
          <w:bCs/>
          <w:sz w:val="32"/>
          <w:szCs w:val="32"/>
          <w:lang w:eastAsia="zh-CN"/>
        </w:rPr>
        <w:t>。</w:t>
      </w:r>
    </w:p>
    <w:p w14:paraId="14AC61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(三)闭环式管理的文物保护模式</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加强制度保护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颁布四川首部遗址保护地方性法规—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四川省三星堆遗址保护条例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;整合公检法力量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成立“文保中队”“历史文化遗产检察部”“三星堆巡回法庭”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形成立法执法司法贯通的法治保护体系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探索数字保护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搭建智慧文保和智慧管理综合平台;筹建三星堆遗址监测中心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对三星堆遗址核心遗迹的存续环境实时在线监测</w:t>
      </w:r>
      <w:r>
        <w:rPr>
          <w:rFonts w:hint="eastAsia" w:ascii="仿宋_GB2312" w:hAnsi="仿宋_GB2312" w:eastAsia="仿宋_GB2312" w:cs="仿宋_GB2312"/>
          <w:b w:val="0"/>
          <w:bCs/>
          <w:sz w:val="32"/>
          <w:szCs w:val="32"/>
          <w:lang w:eastAsia="zh-CN"/>
        </w:rPr>
        <w:t>。</w:t>
      </w:r>
    </w:p>
    <w:p w14:paraId="6E1C3D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(四)展学研一体的活态传承模式</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打造沉浸体验的展示体系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建成投用三星堆博物馆新馆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集成运用声光影交互等多种最新展陈科技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让游客更好与文物“对话”;开放文物修复馆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让公众近距离感受文物修复过程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打造靶向施教的干训平台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挂牌中国延安干部学院现场教学点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建成四川首个全过程人民民主教育实践中心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打造耳濡目染的研学基地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开展覆盖四川主要城市的古蜀文明“双进”活动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建成“三星堆玩国”考古研学实践基地</w:t>
      </w:r>
      <w:r>
        <w:rPr>
          <w:rFonts w:hint="eastAsia" w:ascii="仿宋_GB2312" w:hAnsi="仿宋_GB2312" w:eastAsia="仿宋_GB2312" w:cs="仿宋_GB2312"/>
          <w:b w:val="0"/>
          <w:bCs/>
          <w:sz w:val="32"/>
          <w:szCs w:val="32"/>
          <w:lang w:eastAsia="zh-CN"/>
        </w:rPr>
        <w:t>。</w:t>
      </w:r>
    </w:p>
    <w:p w14:paraId="56E2DC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(五)多业态融合的价值转化模式</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大力推动文化与市场对接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规划建设2平方公里的三星堆文化产业园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打造古蜀文化特色街区等五大消费场景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大力推动文化与旅游融合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组团式打造三星堆镇文旅、南丰镇非遗、高坪镇农旅“三大功能区”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大力推动文化与创意嫁接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采取“IP”授权、品牌联营等方式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跨界布局文创产业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设计开发5大系列1000余种具有古蜀特色、“国潮”特色的文创产品</w:t>
      </w:r>
      <w:r>
        <w:rPr>
          <w:rFonts w:hint="eastAsia" w:ascii="仿宋_GB2312" w:hAnsi="仿宋_GB2312" w:eastAsia="仿宋_GB2312" w:cs="仿宋_GB2312"/>
          <w:b w:val="0"/>
          <w:bCs/>
          <w:sz w:val="32"/>
          <w:szCs w:val="32"/>
          <w:lang w:eastAsia="zh-CN"/>
        </w:rPr>
        <w:t>。</w:t>
      </w:r>
    </w:p>
    <w:p w14:paraId="297552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(六)大社区共营的全民参与模式</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探索建立大遗址补偿机制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提高群众参与文化遗产保护传承的积极性、认同感、获得感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打造“共建共营共享”的遗产地社区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实行返回就业补“外迁”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遗址区原住民异地搬迁后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经技能培训合格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优先吸纳在示范区就业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实行生产资助补“耕种”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对符合大遗址保护要求的农业生产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给予直接补贴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实行盘活土地补“收入”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通过土地租赁、流转及地权入股分红等方式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增加原住民土地收益</w:t>
      </w:r>
      <w:r>
        <w:rPr>
          <w:rFonts w:hint="eastAsia" w:ascii="仿宋_GB2312" w:hAnsi="仿宋_GB2312" w:eastAsia="仿宋_GB2312" w:cs="仿宋_GB2312"/>
          <w:b w:val="0"/>
          <w:bCs/>
          <w:sz w:val="32"/>
          <w:szCs w:val="32"/>
          <w:lang w:eastAsia="zh-CN"/>
        </w:rPr>
        <w:t>。</w:t>
      </w:r>
    </w:p>
    <w:p w14:paraId="0F7729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(七)矩阵式推广的文化传播模式</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“国家队”主导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与国务院新闻办公室、国家文物局共同主办中华文化全球推广之“走进三星堆读懂中华文明”主题活动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发布数字三星堆国际展、三星堆新文创合作等九大三星堆文化全球推广战略合作项目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“自媒体”跟进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在微信、抖音、推特、脸书等国内外头部社交平台上线账号集群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多次荣获“全国十大影响力官微”</w:t>
      </w:r>
      <w:r>
        <w:rPr>
          <w:rFonts w:hint="eastAsia" w:ascii="仿宋_GB2312" w:hAnsi="仿宋_GB2312" w:eastAsia="仿宋_GB2312" w:cs="仿宋_GB2312"/>
          <w:b w:val="0"/>
          <w:bCs/>
          <w:sz w:val="32"/>
          <w:szCs w:val="32"/>
          <w:lang w:eastAsia="zh-CN"/>
        </w:rPr>
        <w:t>。</w:t>
      </w:r>
    </w:p>
    <w:p w14:paraId="4CCF95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三、存在的问题和困难</w:t>
      </w:r>
    </w:p>
    <w:p w14:paraId="7BC202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(一)推进文旅融合发展滞后。</w:t>
      </w:r>
      <w:r>
        <w:rPr>
          <w:rFonts w:hint="eastAsia" w:ascii="仿宋_GB2312" w:hAnsi="仿宋_GB2312" w:eastAsia="仿宋_GB2312" w:cs="仿宋_GB2312"/>
          <w:b w:val="0"/>
          <w:bCs/>
          <w:sz w:val="32"/>
          <w:szCs w:val="32"/>
        </w:rPr>
        <w:t>基础配套仍然薄弱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旅游交通路线有待优化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导识系统待强化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三星堆博物馆入口处人流量大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车辆拥堵现象较严重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周边基础设施较为落后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配套服务功能比较欠缺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尤其是餐饮、住宿保障能力严重不足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旅游从业人员服务水平参差不齐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大多未接受过正规培训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游客满意度有待进一步提高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三星堆遗址公园仅初具雏形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展示设施落后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展示面窄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展示点少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展示手段陈旧单一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观赏性较低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无法充分诠释遗址的价值内涵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不能充分彰显三星堆的独特魅力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亟待提升完善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文创开发起步迟、品类少、受众窄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尚未实现产业链的延伸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推进文旅融合发展滞后</w:t>
      </w:r>
      <w:r>
        <w:rPr>
          <w:rFonts w:hint="eastAsia" w:ascii="仿宋_GB2312" w:hAnsi="仿宋_GB2312" w:eastAsia="仿宋_GB2312" w:cs="仿宋_GB2312"/>
          <w:b w:val="0"/>
          <w:bCs/>
          <w:sz w:val="32"/>
          <w:szCs w:val="32"/>
          <w:lang w:eastAsia="zh-CN"/>
        </w:rPr>
        <w:t>。</w:t>
      </w:r>
    </w:p>
    <w:p w14:paraId="6A6826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(二)培育引进文博人才有短板。</w:t>
      </w:r>
      <w:r>
        <w:rPr>
          <w:rFonts w:hint="eastAsia" w:ascii="仿宋_GB2312" w:hAnsi="仿宋_GB2312" w:eastAsia="仿宋_GB2312" w:cs="仿宋_GB2312"/>
          <w:b w:val="0"/>
          <w:bCs/>
          <w:sz w:val="32"/>
          <w:szCs w:val="32"/>
        </w:rPr>
        <w:t>三星堆遗址保护管理相关单位编制不足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专业搭配失衡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年龄结构老化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三星堆党工委(管委会)具有考古文博专业背景仅4人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专业技术人才稀缺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激励制度缺位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员工职称晋升困难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三星堆博物馆高级职称人才仅6人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人才流失现象时有发生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三星堆博物馆讲解员数量不足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难以匹配不断增长的游客数量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影响参观体验感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队伍建设不足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严重制约三星堆文物事业的发展</w:t>
      </w:r>
      <w:r>
        <w:rPr>
          <w:rFonts w:hint="eastAsia" w:ascii="仿宋_GB2312" w:hAnsi="仿宋_GB2312" w:eastAsia="仿宋_GB2312" w:cs="仿宋_GB2312"/>
          <w:b w:val="0"/>
          <w:bCs/>
          <w:sz w:val="32"/>
          <w:szCs w:val="32"/>
          <w:lang w:eastAsia="zh-CN"/>
        </w:rPr>
        <w:t>。</w:t>
      </w:r>
    </w:p>
    <w:p w14:paraId="5B139A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(三)申遗时限有待优化。</w:t>
      </w:r>
      <w:r>
        <w:rPr>
          <w:rFonts w:hint="eastAsia" w:ascii="仿宋_GB2312" w:hAnsi="仿宋_GB2312" w:eastAsia="仿宋_GB2312" w:cs="仿宋_GB2312"/>
          <w:b w:val="0"/>
          <w:bCs/>
          <w:sz w:val="32"/>
          <w:szCs w:val="32"/>
        </w:rPr>
        <w:t>原申遗方案按2026年创建成功编制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根据现行申遗政策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需增加预评估环节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按照国家文物局指导意见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最快2028年创建成功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受限于规划编制、征地拆迁、遗产保护工程交叉影响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按现有时限同步推进部分任务目标无法按时完成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需要进一步优化任务完成时限</w:t>
      </w:r>
      <w:r>
        <w:rPr>
          <w:rFonts w:hint="eastAsia" w:ascii="仿宋_GB2312" w:hAnsi="仿宋_GB2312" w:eastAsia="仿宋_GB2312" w:cs="仿宋_GB2312"/>
          <w:b w:val="0"/>
          <w:bCs/>
          <w:sz w:val="32"/>
          <w:szCs w:val="32"/>
          <w:lang w:eastAsia="zh-CN"/>
        </w:rPr>
        <w:t>。</w:t>
      </w:r>
    </w:p>
    <w:p w14:paraId="123680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四、下一步工作建议</w:t>
      </w:r>
    </w:p>
    <w:p w14:paraId="7B6E02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(一)紧紧围绕打造历史文物保护和展示高地推进示范区建设。</w:t>
      </w:r>
      <w:r>
        <w:rPr>
          <w:rFonts w:hint="eastAsia" w:ascii="仿宋_GB2312" w:hAnsi="仿宋_GB2312" w:eastAsia="仿宋_GB2312" w:cs="仿宋_GB2312"/>
          <w:b w:val="0"/>
          <w:bCs/>
          <w:sz w:val="32"/>
          <w:szCs w:val="32"/>
        </w:rPr>
        <w:t>持续推进中华文明探源工程和“考古中国”重大项目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对遗址保护区进行有序普探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加强祭祀区、宫殿区、居址区、作坊区、墓葬区系统考古调查与勘探发掘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厘清三星堆遗址整体格局、组成要素和城址状态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高水平规划建设三星堆国家考古遗址公园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实施核心遗迹保护展示和景观修复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优化基础配套设施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加强餐饮、住宿保障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加大三星堆遗址及周边区域生态环境治理</w:t>
      </w:r>
      <w:r>
        <w:rPr>
          <w:rFonts w:hint="eastAsia" w:ascii="仿宋_GB2312" w:hAnsi="仿宋_GB2312" w:eastAsia="仿宋_GB2312" w:cs="仿宋_GB2312"/>
          <w:b w:val="0"/>
          <w:bCs/>
          <w:sz w:val="32"/>
          <w:szCs w:val="32"/>
          <w:lang w:eastAsia="zh-CN"/>
        </w:rPr>
        <w:t>。</w:t>
      </w:r>
    </w:p>
    <w:p w14:paraId="5B0380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(二)紧紧围绕打造考古科技创新研发和实践高地推进示范区建设。</w:t>
      </w:r>
      <w:r>
        <w:rPr>
          <w:rFonts w:hint="eastAsia" w:ascii="仿宋_GB2312" w:hAnsi="仿宋_GB2312" w:eastAsia="仿宋_GB2312" w:cs="仿宋_GB2312"/>
          <w:b w:val="0"/>
          <w:bCs/>
          <w:sz w:val="32"/>
          <w:szCs w:val="32"/>
        </w:rPr>
        <w:t>建设具有国际领先水平的三星堆考古与文物保护修复中心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争创文物保护国家重点实验室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持续做好出土文物保护修复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推动设立考古和文物修复职业技术学院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出台三星堆人才引进培育相关措施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依托“大国工匠”郭汉中大师工作室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加强文物保护修复技术“传帮带”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锻造一支门类齐全、技艺精湛的技能人才队伍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拓宽人才选拔渠道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吸引更多专业化高素质人才加入三星堆文物保护利用事业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健全人才培养、使用、评价和激励机制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建立高素质、专业化文博人才队伍</w:t>
      </w:r>
      <w:r>
        <w:rPr>
          <w:rFonts w:hint="eastAsia" w:ascii="仿宋_GB2312" w:hAnsi="仿宋_GB2312" w:eastAsia="仿宋_GB2312" w:cs="仿宋_GB2312"/>
          <w:b w:val="0"/>
          <w:bCs/>
          <w:sz w:val="32"/>
          <w:szCs w:val="32"/>
          <w:lang w:eastAsia="zh-CN"/>
        </w:rPr>
        <w:t>。</w:t>
      </w:r>
    </w:p>
    <w:p w14:paraId="7F806F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(三)紧紧围绕打造优秀传统文化传承和弘扬高地推进示范区建设。</w:t>
      </w:r>
      <w:r>
        <w:rPr>
          <w:rFonts w:hint="eastAsia" w:ascii="仿宋_GB2312" w:hAnsi="仿宋_GB2312" w:eastAsia="仿宋_GB2312" w:cs="仿宋_GB2312"/>
          <w:b w:val="0"/>
          <w:bCs/>
          <w:sz w:val="32"/>
          <w:szCs w:val="32"/>
        </w:rPr>
        <w:t>认真落实国家文物局批准的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三星堆国家文物保护利用示范区建设实施方案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和省委、省政府制定的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三星堆文化遗址保护利用总体方案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科学推进研究阐释、保护申遗、展示提升、活化利用等主要任务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整合三星堆文化与青铜文明研究中心、古蜀文明保护传承工程学术中心等科研机构与高校院所力量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建实建强三星堆研究院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打造社会科学重点研究基地和交流合作平台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采取“揭榜挂帅”和特别委托等方式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分年度推进三星堆遗址考古、古蜀文明重大问题研究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推出一批权威性研究成果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探寻三星堆文化在中华文明多元一体演进格局中的重要地位作用</w:t>
      </w:r>
      <w:r>
        <w:rPr>
          <w:rFonts w:hint="eastAsia" w:ascii="仿宋_GB2312" w:hAnsi="仿宋_GB2312" w:eastAsia="仿宋_GB2312" w:cs="仿宋_GB2312"/>
          <w:b w:val="0"/>
          <w:bCs/>
          <w:sz w:val="32"/>
          <w:szCs w:val="32"/>
          <w:lang w:eastAsia="zh-CN"/>
        </w:rPr>
        <w:t>。</w:t>
      </w:r>
    </w:p>
    <w:p w14:paraId="1067F8C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62A3B3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1A8339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20DFB6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C3BBADA">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sz w:val="44"/>
          <w:szCs w:val="44"/>
          <w:lang w:val="en-US" w:eastAsia="zh-CN"/>
        </w:rPr>
      </w:pPr>
      <w:r>
        <w:rPr>
          <w:rFonts w:hint="eastAsia" w:ascii="方正小标宋简体" w:hAnsi="方正小标宋简体" w:eastAsia="方正小标宋简体" w:cs="方正小标宋简体"/>
          <w:b w:val="0"/>
          <w:bCs/>
          <w:sz w:val="44"/>
          <w:szCs w:val="44"/>
          <w:lang w:val="en-US" w:eastAsia="zh-CN"/>
        </w:rPr>
        <w:t>关于推进科技创新和科技成果转化助力绵阳科技城建设的调研报告</w:t>
      </w:r>
    </w:p>
    <w:p w14:paraId="18DBEFCD">
      <w:pPr>
        <w:pStyle w:val="2"/>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rPr>
      </w:pPr>
      <w:r>
        <w:rPr>
          <w:rFonts w:hint="eastAsia" w:ascii="方正小标宋简体" w:hAnsi="方正小标宋简体" w:eastAsia="方正小标宋简体" w:cs="方正小标宋简体"/>
          <w:b w:val="0"/>
          <w:bCs/>
          <w:kern w:val="44"/>
          <w:sz w:val="32"/>
          <w:szCs w:val="32"/>
          <w:lang w:val="en-US" w:eastAsia="zh-CN" w:bidi="ar-SA"/>
        </w:rPr>
        <w:t>绵阳市人大常委会</w:t>
      </w:r>
    </w:p>
    <w:p w14:paraId="1D2714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绵阳是党中央、国务院批准建设的中国唯一科技城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肩负着为国家实施创新驱动发展战略探索路径、形成经验、作出示范的重大使命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绵阳市人大常委会聚焦加快建设中国科技城和中国特色社会主义科技创新先行区的光荣使命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深入调查了解绵阳市推进科技创新和科技成果转化助力绵阳科技城建设情况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研究分析存在的困难和问题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提出意见建议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现将有关情况报告如下</w:t>
      </w:r>
      <w:r>
        <w:rPr>
          <w:rFonts w:hint="eastAsia" w:ascii="仿宋_GB2312" w:hAnsi="仿宋_GB2312" w:eastAsia="仿宋_GB2312" w:cs="仿宋_GB2312"/>
          <w:b w:val="0"/>
          <w:bCs/>
          <w:sz w:val="32"/>
          <w:szCs w:val="32"/>
          <w:lang w:eastAsia="zh-CN"/>
        </w:rPr>
        <w:t>。</w:t>
      </w:r>
    </w:p>
    <w:p w14:paraId="046668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一、工作开展情况</w:t>
      </w:r>
    </w:p>
    <w:p w14:paraId="52D64B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绵阳市深入落实党中央、国务院和省委、省政府决策部署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坚持创新引领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实施科技立市战略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一手抓科技创新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一手抓成果转化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加快把绵阳科技城建设成为中国特色社会主义科技创新先行区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更好服务国家高水平科技自立自强</w:t>
      </w:r>
      <w:r>
        <w:rPr>
          <w:rFonts w:hint="eastAsia" w:ascii="仿宋_GB2312" w:hAnsi="仿宋_GB2312" w:eastAsia="仿宋_GB2312" w:cs="仿宋_GB2312"/>
          <w:b w:val="0"/>
          <w:bCs/>
          <w:sz w:val="32"/>
          <w:szCs w:val="32"/>
          <w:lang w:eastAsia="zh-CN"/>
        </w:rPr>
        <w:t>。</w:t>
      </w:r>
    </w:p>
    <w:p w14:paraId="2DA503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(一)加强组织领导</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推动科技城高质量发展。</w:t>
      </w:r>
      <w:r>
        <w:rPr>
          <w:rFonts w:hint="eastAsia" w:ascii="仿宋_GB2312" w:hAnsi="仿宋_GB2312" w:eastAsia="仿宋_GB2312" w:cs="仿宋_GB2312"/>
          <w:b w:val="0"/>
          <w:bCs/>
          <w:sz w:val="32"/>
          <w:szCs w:val="32"/>
        </w:rPr>
        <w:t>一是积极对上争取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推动国家层面出台有关政策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2022年国务院办公厅印发支持绵阳科技城建设科技创新先行区的文件和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科技城“十四五”发展规划和2035年远景目标纲要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二是加强执法监督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将科技创新纳入常态监督事项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三是加大财政经费支持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陆续出台“科创十条”“金融十条”“工业24条”等政策措施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市本级科技发展资金投入逐年增长</w:t>
      </w:r>
      <w:r>
        <w:rPr>
          <w:rFonts w:hint="eastAsia" w:ascii="仿宋_GB2312" w:hAnsi="仿宋_GB2312" w:eastAsia="仿宋_GB2312" w:cs="仿宋_GB2312"/>
          <w:b w:val="0"/>
          <w:bCs/>
          <w:sz w:val="32"/>
          <w:szCs w:val="32"/>
          <w:lang w:eastAsia="zh-CN"/>
        </w:rPr>
        <w:t>。</w:t>
      </w:r>
    </w:p>
    <w:p w14:paraId="78DED9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(二)壮大创新主体</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提升企业创新能级。</w:t>
      </w:r>
      <w:r>
        <w:rPr>
          <w:rFonts w:hint="eastAsia" w:ascii="仿宋_GB2312" w:hAnsi="仿宋_GB2312" w:eastAsia="仿宋_GB2312" w:cs="仿宋_GB2312"/>
          <w:b w:val="0"/>
          <w:bCs/>
          <w:sz w:val="32"/>
          <w:szCs w:val="32"/>
        </w:rPr>
        <w:t>一是培育壮大创新企业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深入实施创新型企业培育行动和科技企业雁阵培育计划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全市高新技术企业达838家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科技型中小企业达2923家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瞪羚企业18家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国家级专精特新“小巨人”企业35家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其中3家企业入围2023年度全国电子信息竞争力百强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长虹集团、九洲集团入围中国企业科技创新竞争力百强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二是促进产学研协同创新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创新建立深化院地合作及服务保障工作联席会议制度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建成运营先进技术研究院、光子技术研究院、航空动力科创中心等科技创新示范平台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推动厦门大学国家大学科技园(绵阳)创新港、厦绵科技协同创新港加快落地建设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三是激发企业创新活力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实施知识产权强企定向培育计划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出台知识产权强企定向培育十条措施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各项数据均居全省前列</w:t>
      </w:r>
      <w:r>
        <w:rPr>
          <w:rFonts w:hint="eastAsia" w:ascii="仿宋_GB2312" w:hAnsi="仿宋_GB2312" w:eastAsia="仿宋_GB2312" w:cs="仿宋_GB2312"/>
          <w:b w:val="0"/>
          <w:bCs/>
          <w:sz w:val="32"/>
          <w:szCs w:val="32"/>
          <w:lang w:eastAsia="zh-CN"/>
        </w:rPr>
        <w:t>。</w:t>
      </w:r>
    </w:p>
    <w:p w14:paraId="47FD97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(三)服务国家战略</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强化战略科技力量建设。</w:t>
      </w:r>
      <w:r>
        <w:rPr>
          <w:rFonts w:hint="eastAsia" w:ascii="仿宋_GB2312" w:hAnsi="仿宋_GB2312" w:eastAsia="仿宋_GB2312" w:cs="仿宋_GB2312"/>
          <w:b w:val="0"/>
          <w:bCs/>
          <w:sz w:val="32"/>
          <w:szCs w:val="32"/>
        </w:rPr>
        <w:t>一是积极参与国家实验室体系建设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依托中航发四川涡轮研究院加快建设国家实验室绵阳试验区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启动中国工程物理研究院交叉科学研究中心建设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完成空气动力学国家重点实验室重组并获批纳入全国重点实验室序列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聚焦核医学领域建设涪江实验室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二是全力支持国家重大项目实施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中国工程物理研究院某重大装置主体工程正式施工建设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中国空气动力研究与</w:t>
      </w:r>
    </w:p>
    <w:p w14:paraId="6D9BA84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发展中心某跨声速风洞建成运营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中国航发四川燃气涡轮研究院建成中国最大航空发动机试验基地和亚洲最大航空发动机高空模拟试车台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三是推动关键核心技术攻关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推动科技体制机制改革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构建起“基础研究＋技术研发＋成果转化”的科技项目体系</w:t>
      </w:r>
      <w:r>
        <w:rPr>
          <w:rFonts w:hint="eastAsia" w:ascii="仿宋_GB2312" w:hAnsi="仿宋_GB2312" w:eastAsia="仿宋_GB2312" w:cs="仿宋_GB2312"/>
          <w:b w:val="0"/>
          <w:bCs/>
          <w:sz w:val="32"/>
          <w:szCs w:val="32"/>
          <w:lang w:eastAsia="zh-CN"/>
        </w:rPr>
        <w:t>。</w:t>
      </w:r>
    </w:p>
    <w:p w14:paraId="15582A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(四)深化科技体制机制改革</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推动科技成果转化。</w:t>
      </w:r>
      <w:r>
        <w:rPr>
          <w:rFonts w:hint="eastAsia" w:ascii="仿宋_GB2312" w:hAnsi="仿宋_GB2312" w:eastAsia="仿宋_GB2312" w:cs="仿宋_GB2312"/>
          <w:b w:val="0"/>
          <w:bCs/>
          <w:sz w:val="32"/>
          <w:szCs w:val="32"/>
        </w:rPr>
        <w:t>一是完善成果转化机制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制定推动职务科技成果权属改革促进科技成果转化的试点方案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探索开展职务科技成果转化前非资产化管理改革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探索建立职务科技成果退出国有无形资产管理清单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二是畅通供需两端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创新实施“科技助理”制度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收集技术需求和成果700余项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面向全国发布科技成果269项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推动医用同位素及药物研制等31项重大科技成果转化和产业化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三是增强成果转化保障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落实“科创十条”政策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兑现3000余万元支持企业加大研发投入、转化科技成果;在1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5亿中央引导地方专项资金中将8550万元用于应用研发、成果转化等</w:t>
      </w:r>
      <w:r>
        <w:rPr>
          <w:rFonts w:hint="eastAsia" w:ascii="仿宋_GB2312" w:hAnsi="仿宋_GB2312" w:eastAsia="仿宋_GB2312" w:cs="仿宋_GB2312"/>
          <w:b w:val="0"/>
          <w:bCs/>
          <w:sz w:val="32"/>
          <w:szCs w:val="32"/>
          <w:lang w:eastAsia="zh-CN"/>
        </w:rPr>
        <w:t>。</w:t>
      </w:r>
    </w:p>
    <w:p w14:paraId="43C649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(五)聚焦人才建设</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激发科技创新活力。</w:t>
      </w:r>
      <w:r>
        <w:rPr>
          <w:rFonts w:hint="eastAsia" w:ascii="仿宋_GB2312" w:hAnsi="仿宋_GB2312" w:eastAsia="仿宋_GB2312" w:cs="仿宋_GB2312"/>
          <w:b w:val="0"/>
          <w:bCs/>
          <w:sz w:val="32"/>
          <w:szCs w:val="32"/>
        </w:rPr>
        <w:t>一是强化人才服务保障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设立“科技城人才日”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成立全省首家国有人才集团—绵阳科技城人才发展集团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制定发布“人才十条”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深入实施科技城人才安居工程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二是开展招才引智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设立10亿元人才专项资金、3亿元人才股权投资基金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探索建立“人才周转池”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精准引进和调配急需人才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三是着力育才用才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加大领军型人才培养力度</w:t>
      </w:r>
      <w:r>
        <w:rPr>
          <w:rFonts w:hint="eastAsia" w:ascii="仿宋_GB2312" w:hAnsi="仿宋_GB2312" w:eastAsia="仿宋_GB2312" w:cs="仿宋_GB2312"/>
          <w:b w:val="0"/>
          <w:bCs/>
          <w:sz w:val="32"/>
          <w:szCs w:val="32"/>
          <w:lang w:eastAsia="zh-CN"/>
        </w:rPr>
        <w:t>。</w:t>
      </w:r>
    </w:p>
    <w:p w14:paraId="26A541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(六)融入全球网络</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汇聚高端创新资源。</w:t>
      </w:r>
      <w:r>
        <w:rPr>
          <w:rFonts w:hint="eastAsia" w:ascii="仿宋_GB2312" w:hAnsi="仿宋_GB2312" w:eastAsia="仿宋_GB2312" w:cs="仿宋_GB2312"/>
          <w:b w:val="0"/>
          <w:bCs/>
          <w:sz w:val="32"/>
          <w:szCs w:val="32"/>
        </w:rPr>
        <w:t>一是创新建设“云上两城”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通过“云端”链接院所、高校、企业的技术、人才、设备等资源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二是深化区域创新交流合作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积极融入成渝地区双城经济圈建设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与成都、重庆共建西部科学城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服务支撑成渝绵“创新金三角”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三是高水平办好中国(绵阳)科技城国际科技博览会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连续高质量举办11届科博会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吸引60余个国家(地区)参展参会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累计展陈科技成果近3万件</w:t>
      </w:r>
      <w:r>
        <w:rPr>
          <w:rFonts w:hint="eastAsia" w:ascii="仿宋_GB2312" w:hAnsi="仿宋_GB2312" w:eastAsia="仿宋_GB2312" w:cs="仿宋_GB2312"/>
          <w:b w:val="0"/>
          <w:bCs/>
          <w:sz w:val="32"/>
          <w:szCs w:val="32"/>
          <w:lang w:eastAsia="zh-CN"/>
        </w:rPr>
        <w:t>。</w:t>
      </w:r>
    </w:p>
    <w:p w14:paraId="5112A22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(七)强化科技赋能</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提升县域科技创新能力。</w:t>
      </w:r>
      <w:r>
        <w:rPr>
          <w:rFonts w:hint="eastAsia" w:ascii="仿宋_GB2312" w:hAnsi="仿宋_GB2312" w:eastAsia="仿宋_GB2312" w:cs="仿宋_GB2312"/>
          <w:b w:val="0"/>
          <w:bCs/>
          <w:sz w:val="32"/>
          <w:szCs w:val="32"/>
        </w:rPr>
        <w:t>一是优化资源要素配置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在全市范围内构建“两核、一廊、三区、多点”的科技创新空间功能布局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通过集聚高端创新资源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提升重大创新节点能级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辐射带动各县域多点科技创新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二是突出创新示范引领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积极争取绵阳国家农业科技园区创建国家农高区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梯次培育和创建省级农业科技园区和省级农高区;扎实推进游仙区县域集成改革试点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三是推动科技助力乡村振兴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扎实开展科技特派员服务团工作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实现县市区全覆盖</w:t>
      </w:r>
      <w:r>
        <w:rPr>
          <w:rFonts w:hint="eastAsia" w:ascii="仿宋_GB2312" w:hAnsi="仿宋_GB2312" w:eastAsia="仿宋_GB2312" w:cs="仿宋_GB2312"/>
          <w:b w:val="0"/>
          <w:bCs/>
          <w:sz w:val="32"/>
          <w:szCs w:val="32"/>
          <w:lang w:eastAsia="zh-CN"/>
        </w:rPr>
        <w:t>。</w:t>
      </w:r>
    </w:p>
    <w:p w14:paraId="3601B1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二、存在的问题</w:t>
      </w:r>
    </w:p>
    <w:p w14:paraId="1B878F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一是企业研发投入不足。在绵科技型企业自主创新能力较弱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全市9个国省级重点实验室均无企业牵头建立;企业研发投入强度偏低</w:t>
      </w:r>
      <w:r>
        <w:rPr>
          <w:rFonts w:hint="eastAsia" w:ascii="仿宋_GB2312" w:hAnsi="仿宋_GB2312" w:eastAsia="仿宋_GB2312" w:cs="仿宋_GB2312"/>
          <w:b w:val="0"/>
          <w:bCs/>
          <w:sz w:val="32"/>
          <w:szCs w:val="32"/>
          <w:lang w:eastAsia="zh-CN"/>
        </w:rPr>
        <w:t>。</w:t>
      </w:r>
    </w:p>
    <w:p w14:paraId="619E5B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二是基础研究带动性不强。基础研究研发投入及其占全社会研发投入总量的占比较少;以科研院所带动地方高校、企业参与基础研究的辐射能力弱</w:t>
      </w:r>
      <w:r>
        <w:rPr>
          <w:rFonts w:hint="eastAsia" w:ascii="仿宋_GB2312" w:hAnsi="仿宋_GB2312" w:eastAsia="仿宋_GB2312" w:cs="仿宋_GB2312"/>
          <w:b w:val="0"/>
          <w:bCs/>
          <w:sz w:val="32"/>
          <w:szCs w:val="32"/>
          <w:lang w:eastAsia="zh-CN"/>
        </w:rPr>
        <w:t>。</w:t>
      </w:r>
    </w:p>
    <w:p w14:paraId="58FC04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三是科技成果转化率低。绵阳市支持技术转移转化服务</w:t>
      </w:r>
    </w:p>
    <w:p w14:paraId="756B7389">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体系建设力度不够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中试研发平台建设起步较晚;技术交易市场化程度较低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创新平台发挥辐射带动、助推产业转型升级作用还不够强</w:t>
      </w:r>
      <w:r>
        <w:rPr>
          <w:rFonts w:hint="eastAsia" w:ascii="仿宋_GB2312" w:hAnsi="仿宋_GB2312" w:eastAsia="仿宋_GB2312" w:cs="仿宋_GB2312"/>
          <w:b w:val="0"/>
          <w:bCs/>
          <w:sz w:val="32"/>
          <w:szCs w:val="32"/>
          <w:lang w:eastAsia="zh-CN"/>
        </w:rPr>
        <w:t>。</w:t>
      </w:r>
    </w:p>
    <w:p w14:paraId="24A46B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四是创新平台作用发挥不充分。全市科技企业孵化器使用面积、总收入、孵化基金总额、对公共技术服务平台投资额4项指标有所下降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创新平台多聚焦依托单位需求开展研发活动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难以达到服务产业发展的要求</w:t>
      </w:r>
      <w:r>
        <w:rPr>
          <w:rFonts w:hint="eastAsia" w:ascii="仿宋_GB2312" w:hAnsi="仿宋_GB2312" w:eastAsia="仿宋_GB2312" w:cs="仿宋_GB2312"/>
          <w:b w:val="0"/>
          <w:bCs/>
          <w:sz w:val="32"/>
          <w:szCs w:val="32"/>
          <w:lang w:eastAsia="zh-CN"/>
        </w:rPr>
        <w:t>。</w:t>
      </w:r>
    </w:p>
    <w:p w14:paraId="76F59C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五是产学研合作机制不够健全。在绵科研院所绝大部分研究成果处于成果转化链的前端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“不想转”“不能转”的问题并存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绝大多数产学研合作停留在技术转让、合作开发和委托开发等较低层次合作上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资源共享共用和成果互动转化还不充分</w:t>
      </w:r>
      <w:r>
        <w:rPr>
          <w:rFonts w:hint="eastAsia" w:ascii="仿宋_GB2312" w:hAnsi="仿宋_GB2312" w:eastAsia="仿宋_GB2312" w:cs="仿宋_GB2312"/>
          <w:b w:val="0"/>
          <w:bCs/>
          <w:sz w:val="32"/>
          <w:szCs w:val="32"/>
          <w:lang w:eastAsia="zh-CN"/>
        </w:rPr>
        <w:t>。</w:t>
      </w:r>
    </w:p>
    <w:p w14:paraId="05B47EC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六是科技创新人才缺乏。科技人才总量偏少;院地校地人才双向流动不畅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高端人才参与地方经济发展的力度还不够</w:t>
      </w:r>
      <w:r>
        <w:rPr>
          <w:rFonts w:hint="eastAsia" w:ascii="仿宋_GB2312" w:hAnsi="仿宋_GB2312" w:eastAsia="仿宋_GB2312" w:cs="仿宋_GB2312"/>
          <w:b w:val="0"/>
          <w:bCs/>
          <w:sz w:val="32"/>
          <w:szCs w:val="32"/>
          <w:lang w:eastAsia="zh-CN"/>
        </w:rPr>
        <w:t>。</w:t>
      </w:r>
    </w:p>
    <w:p w14:paraId="269378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三、工作建议</w:t>
      </w:r>
    </w:p>
    <w:p w14:paraId="54792E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一是加大法律法规政策宣传和实施力度。进一步加强有关法律法规和科技创新政策的学习宣传和执行力度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加大科学技术普及力度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加强对科技创新和科技成果转化典型案例、成功范例的剖析宣传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营造全民积极学法用法、依法推进科技创新、促进科技成果转化的良好氛围</w:t>
      </w:r>
      <w:r>
        <w:rPr>
          <w:rFonts w:hint="eastAsia" w:ascii="仿宋_GB2312" w:hAnsi="仿宋_GB2312" w:eastAsia="仿宋_GB2312" w:cs="仿宋_GB2312"/>
          <w:b w:val="0"/>
          <w:bCs/>
          <w:sz w:val="32"/>
          <w:szCs w:val="32"/>
          <w:lang w:eastAsia="zh-CN"/>
        </w:rPr>
        <w:t>。</w:t>
      </w:r>
    </w:p>
    <w:p w14:paraId="47CAAE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二是完善政策机制和激励措施。健全完善激励政策措施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加大高新技术企业培育力度和中小企业技术创新支持力度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加快形成以龙头企业为引领、其他企业协同发展的创新产业集群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完善政产学研合作长效机制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推动重大科技成果转移转化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进一步加强知识产权保护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充分保障企业在科技成果转化中的合法权益</w:t>
      </w:r>
      <w:r>
        <w:rPr>
          <w:rFonts w:hint="eastAsia" w:ascii="仿宋_GB2312" w:hAnsi="仿宋_GB2312" w:eastAsia="仿宋_GB2312" w:cs="仿宋_GB2312"/>
          <w:b w:val="0"/>
          <w:bCs/>
          <w:sz w:val="32"/>
          <w:szCs w:val="32"/>
          <w:lang w:eastAsia="zh-CN"/>
        </w:rPr>
        <w:t>。</w:t>
      </w:r>
    </w:p>
    <w:p w14:paraId="50124BE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三是大力推进科技体制机制改革。以加快建设中国特色社会主义科技创新先行区为契机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整合全市科技创新资源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统筹推进重大科技攻关项目研发和产业化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大力发展科技交易市场、科技风险投资公司等中介服务组织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抓紧培养专业科技经纪人团队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提高科技成果转化服务的水平和能力</w:t>
      </w:r>
      <w:r>
        <w:rPr>
          <w:rFonts w:hint="eastAsia" w:ascii="仿宋_GB2312" w:hAnsi="仿宋_GB2312" w:eastAsia="仿宋_GB2312" w:cs="仿宋_GB2312"/>
          <w:b w:val="0"/>
          <w:bCs/>
          <w:sz w:val="32"/>
          <w:szCs w:val="32"/>
          <w:lang w:eastAsia="zh-CN"/>
        </w:rPr>
        <w:t>。</w:t>
      </w:r>
    </w:p>
    <w:p w14:paraId="75C68C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四是探索科研经费多元投入机制。健全完善科技财政经费投入机制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加快推进建立科技投入稳定增长的长效机制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督促各级政府依法增加科技经费投入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探索“财政投入为引导、企业投入为主体、金融资本和民间资本竞相跟进”的多元化科技融资机制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拓宽科技创新的投融资渠道</w:t>
      </w:r>
      <w:r>
        <w:rPr>
          <w:rFonts w:hint="eastAsia" w:ascii="仿宋_GB2312" w:hAnsi="仿宋_GB2312" w:eastAsia="仿宋_GB2312" w:cs="仿宋_GB2312"/>
          <w:b w:val="0"/>
          <w:bCs/>
          <w:sz w:val="32"/>
          <w:szCs w:val="32"/>
          <w:lang w:eastAsia="zh-CN"/>
        </w:rPr>
        <w:t>。</w:t>
      </w:r>
    </w:p>
    <w:p w14:paraId="495A1CC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五是进一步加强人才的引育留用。持续推动“人才十条”落地落实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多层次培育、多渠道引进优秀科技人才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加强对各级各类科技人才的继续教育和技能培训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不断提高现有人才队伍素质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建立健全人才激励机制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完善科技人员在岗兼职、离岗创业和返岗任职制度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进一步推进落实科技成果转化收益分配制度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依法完善科技成果转化绩效评价机制</w:t>
      </w:r>
      <w:r>
        <w:rPr>
          <w:rFonts w:hint="eastAsia" w:ascii="仿宋_GB2312" w:hAnsi="仿宋_GB2312" w:eastAsia="仿宋_GB2312" w:cs="仿宋_GB2312"/>
          <w:b w:val="0"/>
          <w:bCs/>
          <w:sz w:val="32"/>
          <w:szCs w:val="32"/>
          <w:lang w:eastAsia="zh-CN"/>
        </w:rPr>
        <w:t>。</w:t>
      </w:r>
    </w:p>
    <w:p w14:paraId="333B4E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69BA38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71194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1CCD9F4">
      <w:pPr>
        <w:keepNext w:val="0"/>
        <w:keepLines w:val="0"/>
        <w:pageBreakBefore w:val="0"/>
        <w:widowControl w:val="0"/>
        <w:kinsoku/>
        <w:wordWrap/>
        <w:overflowPunct/>
        <w:topLinePunct w:val="0"/>
        <w:autoSpaceDE/>
        <w:autoSpaceDN/>
        <w:bidi w:val="0"/>
        <w:adjustRightInd/>
        <w:snapToGrid/>
        <w:spacing w:line="600" w:lineRule="exact"/>
        <w:jc w:val="both"/>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809EFEC">
      <w:pPr>
        <w:keepNext w:val="0"/>
        <w:keepLines w:val="0"/>
        <w:pageBreakBefore w:val="0"/>
        <w:widowControl w:val="0"/>
        <w:kinsoku/>
        <w:wordWrap/>
        <w:overflowPunct/>
        <w:topLinePunct w:val="0"/>
        <w:autoSpaceDE/>
        <w:autoSpaceDN/>
        <w:bidi w:val="0"/>
        <w:adjustRightInd/>
        <w:snapToGrid/>
        <w:spacing w:line="600" w:lineRule="exact"/>
        <w:ind w:firstLine="440" w:firstLineChars="100"/>
        <w:jc w:val="both"/>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关于曾家山原住民参与旅游区建设的</w:t>
      </w:r>
    </w:p>
    <w:p w14:paraId="1B7113FF">
      <w:pPr>
        <w:keepNext w:val="0"/>
        <w:keepLines w:val="0"/>
        <w:pageBreakBefore w:val="0"/>
        <w:widowControl w:val="0"/>
        <w:kinsoku/>
        <w:wordWrap/>
        <w:overflowPunct/>
        <w:topLinePunct w:val="0"/>
        <w:autoSpaceDE/>
        <w:autoSpaceDN/>
        <w:bidi w:val="0"/>
        <w:adjustRightInd/>
        <w:snapToGrid/>
        <w:spacing w:line="600" w:lineRule="exact"/>
        <w:ind w:firstLine="3080" w:firstLineChars="700"/>
        <w:jc w:val="both"/>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调研报告</w:t>
      </w:r>
    </w:p>
    <w:p w14:paraId="25174BB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32"/>
          <w:szCs w:val="32"/>
          <w:lang w:val="en-US" w:eastAsia="zh-CN" w:bidi="ar-SA"/>
        </w:rPr>
      </w:pPr>
      <w:r>
        <w:rPr>
          <w:rFonts w:hint="eastAsia" w:ascii="方正小标宋简体" w:hAnsi="方正小标宋简体" w:eastAsia="方正小标宋简体" w:cs="方正小标宋简体"/>
          <w:b w:val="0"/>
          <w:bCs/>
          <w:kern w:val="44"/>
          <w:sz w:val="32"/>
          <w:szCs w:val="32"/>
          <w:lang w:val="en-US" w:eastAsia="zh-CN" w:bidi="ar-SA"/>
        </w:rPr>
        <w:t>广元市人大常委会</w:t>
      </w:r>
    </w:p>
    <w:p w14:paraId="2B6502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F7A5C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今年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市人大教科文卫委就曾家山在旅游度假区在建设过程中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建构一个利于原住民全员参与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支持曾家山旅游发展的社会环境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实现全员受益发展目标的情况开展了深入调查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参考旅游度假区建设相关研究成果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提出曾家山原住民参与旅游度假区建设的路径建议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现将调查研究情况报告如下</w:t>
      </w:r>
      <w:r>
        <w:rPr>
          <w:rFonts w:hint="eastAsia" w:ascii="仿宋_GB2312" w:hAnsi="仿宋_GB2312" w:eastAsia="仿宋_GB2312" w:cs="仿宋_GB2312"/>
          <w:b w:val="0"/>
          <w:bCs/>
          <w:sz w:val="32"/>
          <w:szCs w:val="32"/>
          <w:lang w:eastAsia="zh-CN"/>
        </w:rPr>
        <w:t>。</w:t>
      </w:r>
    </w:p>
    <w:p w14:paraId="1552AE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一、曾家山原住民参与旅游区建设的情况</w:t>
      </w:r>
    </w:p>
    <w:p w14:paraId="61B74D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世界旅游组织、世界旅游理事会与地球理事会联合颁布了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关于旅游业的21世纪议程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明确指出将社区居民作为旅游度假区发展的关怀对象之一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社区、原住民参与是生态旅游内涵的组成部分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要使地方原住民成为旅游度假区发展中的主要参与者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而不是旁观者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旅游度假区所在地居民的生存大都依赖自然资源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经济模式不同于城市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所以开发生态旅游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提高当地居民的生活质量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保护当地民俗和传统是必须要考虑的问题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原住民通过全方位参与到旅游项目开发、接待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旅游产品生产、销售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旅游项目服务中来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获得比以前更充分的就业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不但可以提高原住民环境保护意识和环境有价意识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促进乡土文化的挖掘与再创造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同时也为旅游度假区建设提供强劲的发展动力</w:t>
      </w:r>
      <w:r>
        <w:rPr>
          <w:rFonts w:hint="eastAsia" w:ascii="仿宋_GB2312" w:hAnsi="仿宋_GB2312" w:eastAsia="仿宋_GB2312" w:cs="仿宋_GB2312"/>
          <w:b w:val="0"/>
          <w:bCs/>
          <w:sz w:val="32"/>
          <w:szCs w:val="32"/>
          <w:lang w:eastAsia="zh-CN"/>
        </w:rPr>
        <w:t>。</w:t>
      </w:r>
    </w:p>
    <w:p w14:paraId="2FDD45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曾家山旅游度假区建设中通过增加投入、发展新的业态、注重主体培育、引导群众积极参与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有力促进了曾家山旅游度假区建设发展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一是促进了农业产业稳步发展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通过围绕曾家山山地田园风光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深度做好农业资源开发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发展观光农业、休闲农业、体验农业等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逐步实现园区变景区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截至2023年底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曾家山已建成4个万亩现代农业园区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全国绿色食品原料(蔬菜)标准化生产基地19万亩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常年种植蔬菜28万亩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总产量70万吨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实现产值近10亿元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二是促进了旅游产业强劲发展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先后引进了荣乐养生谷、曾家山原乡、碧谷云天7个度假项目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夯实旅游设施建设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获得中国农业公园、国家4A级旅游景区、中国西部生态养生基地、四川省首批十大消夏度假旅游区、“中国十大避暑名山”等10余个地标性称号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旅游人数、旅游收入、过夜游客等指标逐年成增长态势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特别是过夜旅客增长率为122</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56%</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蝴蝶效应逐步凸显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三是促进了农文旅融合发展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贯穿“大产业大融合”理念、打造亚高原田园综合产业体、健全工作推进机制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明晰融合路径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积极创建中国农业公园、精心打造特色小镇、做大做强农业园区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优化融合平台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发展壮大龙头企业、鼓励社会资本投入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培育融合主体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做靓旅游品牌、做优农业品牌、做强文化品牌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提升融合质量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曾家山农民年人均纯收入增长率高于朝天区平均增长水平</w:t>
      </w:r>
      <w:r>
        <w:rPr>
          <w:rFonts w:hint="eastAsia" w:ascii="仿宋_GB2312" w:hAnsi="仿宋_GB2312" w:eastAsia="仿宋_GB2312" w:cs="仿宋_GB2312"/>
          <w:b w:val="0"/>
          <w:bCs/>
          <w:sz w:val="32"/>
          <w:szCs w:val="32"/>
          <w:lang w:eastAsia="zh-CN"/>
        </w:rPr>
        <w:t>。</w:t>
      </w:r>
    </w:p>
    <w:p w14:paraId="6A5000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二、曾家山原住民参与旅游区建设的问题</w:t>
      </w:r>
    </w:p>
    <w:p w14:paraId="1D3FEB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(一)参与层次不深入。一是参与意识不强</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乡镇干部对原住民参与旅游度假区建设意识不强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大多数干部对于原住民如何参与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以什么方式参与心中无数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村民对参与旅游度假区建设意识不强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20%左右的存在患得患失观念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一方面有参与的意愿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另一方面又存在担忧排斥心里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担心开发商、外来人员挤占他们的资源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二是参与条件受限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受发展项目限制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曾家山旅游业态主要是旅游地产、民俗、农家乐和一些运动项目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游乐项目、主题公园缺乏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体育赛事规模小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参与渠道少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受资源开发限制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曾家山的农产品生产、销售主要是初级产品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农产品深度开发、加工特别是旅游产品开发、加工、营销严重滞后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阻滞了原住民的参与途径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受接待条件限制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部分农家乐污水处理设施、无害化厕所不达标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限制了其接待、参与所需条件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三是参与能力缺乏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大多数原住民年龄偏大、素质不高、接受新生事物能力不强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参与度假区建设有心无力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部分群众的生活习惯、行为方式与旅游度假区的要求差距较大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影响了深度参与</w:t>
      </w:r>
      <w:r>
        <w:rPr>
          <w:rFonts w:hint="eastAsia" w:ascii="仿宋_GB2312" w:hAnsi="仿宋_GB2312" w:eastAsia="仿宋_GB2312" w:cs="仿宋_GB2312"/>
          <w:b w:val="0"/>
          <w:bCs/>
          <w:sz w:val="32"/>
          <w:szCs w:val="32"/>
          <w:lang w:eastAsia="zh-CN"/>
        </w:rPr>
        <w:t>。</w:t>
      </w:r>
    </w:p>
    <w:p w14:paraId="7E7935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(二)参与内容不丰富。</w:t>
      </w:r>
      <w:r>
        <w:rPr>
          <w:rFonts w:hint="eastAsia" w:ascii="仿宋_GB2312" w:hAnsi="仿宋_GB2312" w:eastAsia="仿宋_GB2312" w:cs="仿宋_GB2312"/>
          <w:b w:val="0"/>
          <w:bCs/>
          <w:sz w:val="32"/>
          <w:szCs w:val="32"/>
        </w:rPr>
        <w:t>一是参与业态传统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曾家山原住民主要以民俗、农家乐、餐饮等传统业态为主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新的业态如会展旅游、旅游产业园、影视旅游、乐活旅游、教育旅游等新业态开发滞后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二是参与项目单一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旅游项目涉及“吃、住、行、游、购、娱”等各个方面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贯穿旅游业发展全过程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但由于自身因素和外在条件限制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原住民参与项目单一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主要集中在农业产业项目以及与吃、住相关的项目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在景区景点项目、游乐设施项目、旅游商品开发项目、旅游交通建设项目、旅游培训教育基地项目等方面参与很少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三是参与环节有限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由于受多种因素影响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在旅游度假区建设中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项目规划、设计、决策、基础设施建设、教育培训、旅游资源和环境管理等环节很少征求原住民意见建议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参与环节少</w:t>
      </w:r>
      <w:r>
        <w:rPr>
          <w:rFonts w:hint="eastAsia" w:ascii="仿宋_GB2312" w:hAnsi="仿宋_GB2312" w:eastAsia="仿宋_GB2312" w:cs="仿宋_GB2312"/>
          <w:b w:val="0"/>
          <w:bCs/>
          <w:sz w:val="32"/>
          <w:szCs w:val="32"/>
          <w:lang w:eastAsia="zh-CN"/>
        </w:rPr>
        <w:t>。</w:t>
      </w:r>
    </w:p>
    <w:p w14:paraId="456A4C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(三)参与模式不多样。</w:t>
      </w:r>
      <w:r>
        <w:rPr>
          <w:rFonts w:hint="eastAsia" w:ascii="仿宋_GB2312" w:hAnsi="仿宋_GB2312" w:eastAsia="仿宋_GB2312" w:cs="仿宋_GB2312"/>
          <w:b w:val="0"/>
          <w:bCs/>
          <w:sz w:val="32"/>
          <w:szCs w:val="32"/>
        </w:rPr>
        <w:t>一是政府引导型占比低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基层干部普遍对采取何种模式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怎样引导群众参与旅游度假区项目思路不清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原住民认为政府基本没有专题研究项目参与问题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也未出台相关措施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政府主导(引导)型参与项目低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二是主体带动型相对少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社会资本投资的地产项目、运动项目、游乐项目等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原住民参与的方式主要是务工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农业新型经营主体带动原住民参与主要集中在农业产业发展链条上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带动原住民将农业产业与旅游产业深度融合的相对较少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三是自主参与型程度浅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原住民参与旅游度假区建设的方式主要是开办农家乐、小型饭店、销售农产品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参与程度浅、参与方式粗放</w:t>
      </w:r>
      <w:r>
        <w:rPr>
          <w:rFonts w:hint="eastAsia" w:ascii="仿宋_GB2312" w:hAnsi="仿宋_GB2312" w:eastAsia="仿宋_GB2312" w:cs="仿宋_GB2312"/>
          <w:b w:val="0"/>
          <w:bCs/>
          <w:sz w:val="32"/>
          <w:szCs w:val="32"/>
          <w:lang w:eastAsia="zh-CN"/>
        </w:rPr>
        <w:t>。</w:t>
      </w:r>
    </w:p>
    <w:p w14:paraId="492B791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(四)参与机制不健全。</w:t>
      </w:r>
      <w:r>
        <w:rPr>
          <w:rFonts w:hint="eastAsia" w:ascii="仿宋_GB2312" w:hAnsi="仿宋_GB2312" w:eastAsia="仿宋_GB2312" w:cs="仿宋_GB2312"/>
          <w:b w:val="0"/>
          <w:bCs/>
          <w:sz w:val="32"/>
          <w:szCs w:val="32"/>
        </w:rPr>
        <w:t>一是信息机制不健全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没有形成方便原住民参与的信息发布、交换、评价、反馈机制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原住民处于信息不对称状态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二是协调机制不健全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管委会的具体职能和县区、乡镇两级党委政府的关系还不明晰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协调主体、协调事项、协调方式等相关协调机制还不健全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导致有些事项仍然存在条快分割、责任不明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三是培训机制不健全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针对对外来人员的融入教育、从业人员的职业道德和业务技能培训、原住民的素质提升教育培训等方面没有制定相应的教育培训规划、没有统一的教育培训标准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组织实施存在各自为政的情况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四是利益机制不健全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还未形成有效联结外来建设主体、农业新型经营主体、原住民自治主体的利益联结机制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大部分原住民只是单纯的以流转土地、出租房屋的方式联结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通过入股、合作经营、优先用工等方式参与的较少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集体经济、专业合作组织如何有效参与项目开发运营的机制有待建立和完善</w:t>
      </w:r>
      <w:r>
        <w:rPr>
          <w:rFonts w:hint="eastAsia" w:ascii="仿宋_GB2312" w:hAnsi="仿宋_GB2312" w:eastAsia="仿宋_GB2312" w:cs="仿宋_GB2312"/>
          <w:b w:val="0"/>
          <w:bCs/>
          <w:sz w:val="32"/>
          <w:szCs w:val="32"/>
          <w:lang w:eastAsia="zh-CN"/>
        </w:rPr>
        <w:t>。</w:t>
      </w:r>
    </w:p>
    <w:p w14:paraId="02B012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三、曾家山原住民参与旅游区建设的对策建议</w:t>
      </w:r>
    </w:p>
    <w:p w14:paraId="4C0DACC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(一)持续丰富业态</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拓展参与项目。</w:t>
      </w:r>
      <w:r>
        <w:rPr>
          <w:rFonts w:hint="eastAsia" w:ascii="仿宋_GB2312" w:hAnsi="仿宋_GB2312" w:eastAsia="仿宋_GB2312" w:cs="仿宋_GB2312"/>
          <w:b w:val="0"/>
          <w:bCs/>
          <w:sz w:val="32"/>
          <w:szCs w:val="32"/>
        </w:rPr>
        <w:t>一是拓展农业产业业态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依托特色生态农业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围绕旅游发展要求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建设生态农业园区(景区)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开发生态农业产品等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充分拓展农业产业参与项目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二是拓展旅游产业业态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依托资源禀赋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围绕旅游项目建设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丰富旅游产业新业态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丰富新的旅游组织形态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如产业融合型新组织形态、网络技术与旅游融合型新组织形态、多类型企业合作发展的新组织形态等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丰富新的旅游产品形态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如与交通工具结合形成的新旅游产品形态、与特色旅游资源结合形成的新旅游产品形态等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丰富新的旅游经营形态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如联合经营形态、网络技术经营形态等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通过丰富业态充分拓展旅游产业参与项目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三是拓展文化产业业态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依托民俗文化、挖掘三国文化、传承红色文化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打造川北特色民居、开发多样态文化产品、创建名人工作室等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充分拓展文化产业参与项目</w:t>
      </w:r>
      <w:r>
        <w:rPr>
          <w:rFonts w:hint="eastAsia" w:ascii="仿宋_GB2312" w:hAnsi="仿宋_GB2312" w:eastAsia="仿宋_GB2312" w:cs="仿宋_GB2312"/>
          <w:b w:val="0"/>
          <w:bCs/>
          <w:sz w:val="32"/>
          <w:szCs w:val="32"/>
          <w:lang w:eastAsia="zh-CN"/>
        </w:rPr>
        <w:t>。</w:t>
      </w:r>
    </w:p>
    <w:p w14:paraId="0497BD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(二)优化创新模式</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扩大参与方式。</w:t>
      </w:r>
      <w:r>
        <w:rPr>
          <w:rFonts w:hint="eastAsia" w:ascii="仿宋_GB2312" w:hAnsi="仿宋_GB2312" w:eastAsia="仿宋_GB2312" w:cs="仿宋_GB2312"/>
          <w:b w:val="0"/>
          <w:bCs/>
          <w:sz w:val="32"/>
          <w:szCs w:val="32"/>
        </w:rPr>
        <w:t>一是政府引导参与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通过政府制定行业标准、出台优惠政策、提供激励措施等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创新引导参与模式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二是旅游企业主导参与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通过旅游企业发布信息、调剂合作项目、提供用工岗位、开展技能培训等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创新主导参与模式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三是集体经济引入参与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通过项目合作、投资合作、租赁参股等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创新引入参与模式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四是新型经营主体带动参与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通过产业带动、技术带动、市场带动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延长产业链、强化带动链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创新带动参与模式</w:t>
      </w:r>
      <w:r>
        <w:rPr>
          <w:rFonts w:hint="eastAsia" w:ascii="仿宋_GB2312" w:hAnsi="仿宋_GB2312" w:eastAsia="仿宋_GB2312" w:cs="仿宋_GB2312"/>
          <w:b w:val="0"/>
          <w:bCs/>
          <w:sz w:val="32"/>
          <w:szCs w:val="32"/>
          <w:lang w:eastAsia="zh-CN"/>
        </w:rPr>
        <w:t>。</w:t>
      </w:r>
    </w:p>
    <w:p w14:paraId="56B001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(三)不断完善机制</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增强参与效果。</w:t>
      </w:r>
      <w:r>
        <w:rPr>
          <w:rFonts w:hint="eastAsia" w:ascii="仿宋_GB2312" w:hAnsi="仿宋_GB2312" w:eastAsia="仿宋_GB2312" w:cs="仿宋_GB2312"/>
          <w:b w:val="0"/>
          <w:bCs/>
          <w:sz w:val="32"/>
          <w:szCs w:val="32"/>
        </w:rPr>
        <w:t>一是完善动力机制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构建完善政府对提高自身效能的要求、业主对利润最大化的追求和原住民增收的愿望三源合力驱动的动力机制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实现三者利益的动态均衡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如构建政府考核机制、业主与原住民利益分配机制等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二是完善运行机制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构建完善快速灵敏的信息发布机制、充分民主的决策机制、高效稳妥的协调机制、准确易行的评价机制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实时调节主体、内容、过程以及各环节的关系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三是完善保障机制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完善组织保障、法律保障、政策保障、经融保障等保障机制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为旅游度假区建设提供支撑</w:t>
      </w:r>
      <w:r>
        <w:rPr>
          <w:rFonts w:hint="eastAsia" w:ascii="仿宋_GB2312" w:hAnsi="仿宋_GB2312" w:eastAsia="仿宋_GB2312" w:cs="仿宋_GB2312"/>
          <w:b w:val="0"/>
          <w:bCs/>
          <w:sz w:val="32"/>
          <w:szCs w:val="32"/>
          <w:lang w:eastAsia="zh-CN"/>
        </w:rPr>
        <w:t>。</w:t>
      </w:r>
    </w:p>
    <w:p w14:paraId="3B58F11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(四)强化教育培训</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增强参与能力。</w:t>
      </w:r>
      <w:r>
        <w:rPr>
          <w:rFonts w:hint="eastAsia" w:ascii="仿宋_GB2312" w:hAnsi="仿宋_GB2312" w:eastAsia="仿宋_GB2312" w:cs="仿宋_GB2312"/>
          <w:b w:val="0"/>
          <w:bCs/>
          <w:sz w:val="32"/>
          <w:szCs w:val="32"/>
        </w:rPr>
        <w:t>一是强化融入意识教育培训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实现外来投资主体、外来度假人员与原住民相融共生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二是开展诚信经营、文明游客、文明服务员等主题文明活动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提高外来人员、原住民文明素质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三是开展知识大培训、能力大练兵、技能大比武活动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持续提升原住民特色产业发展、旅游产品制作、服务从业能力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增强参与能力</w:t>
      </w:r>
      <w:r>
        <w:rPr>
          <w:rFonts w:hint="eastAsia" w:ascii="仿宋_GB2312" w:hAnsi="仿宋_GB2312" w:eastAsia="仿宋_GB2312" w:cs="仿宋_GB2312"/>
          <w:b w:val="0"/>
          <w:bCs/>
          <w:sz w:val="32"/>
          <w:szCs w:val="32"/>
          <w:lang w:eastAsia="zh-CN"/>
        </w:rPr>
        <w:t>。</w:t>
      </w:r>
    </w:p>
    <w:p w14:paraId="1B4D9D0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384C3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1FD6BF9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7DDDF1D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9FFE6D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3B24929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27DE01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630DD84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418B2A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0C2674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A59360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34CB03C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1906260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7AF7F0C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16A325F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CD8B41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2A108C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448BBC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6DD6E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22CE5A1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4516B49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3ED242F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关于基层医疗卫生机构生存与转型的</w:t>
      </w:r>
    </w:p>
    <w:p w14:paraId="345201A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调研报告</w:t>
      </w:r>
    </w:p>
    <w:p w14:paraId="7157211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32"/>
          <w:szCs w:val="32"/>
          <w:lang w:val="en-US" w:eastAsia="zh-CN" w:bidi="ar-SA"/>
        </w:rPr>
      </w:pPr>
      <w:r>
        <w:rPr>
          <w:rFonts w:hint="eastAsia" w:ascii="方正小标宋简体" w:hAnsi="方正小标宋简体" w:eastAsia="方正小标宋简体" w:cs="方正小标宋简体"/>
          <w:b w:val="0"/>
          <w:bCs/>
          <w:kern w:val="44"/>
          <w:sz w:val="32"/>
          <w:szCs w:val="32"/>
          <w:lang w:val="en-US" w:eastAsia="zh-CN" w:bidi="ar-SA"/>
        </w:rPr>
        <w:t>遂宁市人大常委会</w:t>
      </w:r>
    </w:p>
    <w:p w14:paraId="5BFC10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98843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我市共设置基层医疗卫生机构104个(其中乡镇卫生院83个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社区卫生服务中心21个)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全部为公益一类事业单位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核定事业编制3648名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现有在编人员3300人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临聘人员2364人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市政府全面贯彻落实新时代党的卫生与健康工作方针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以基层为重点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以人民健康为中心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以改革创新为动力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积极推动基层医疗卫生机构转型升级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基层卫生健康服务能力不断提升</w:t>
      </w:r>
      <w:r>
        <w:rPr>
          <w:rFonts w:hint="eastAsia" w:ascii="仿宋_GB2312" w:hAnsi="仿宋_GB2312" w:eastAsia="仿宋_GB2312" w:cs="仿宋_GB2312"/>
          <w:b w:val="0"/>
          <w:bCs/>
          <w:sz w:val="32"/>
          <w:szCs w:val="32"/>
          <w:lang w:eastAsia="zh-CN"/>
        </w:rPr>
        <w:t>。</w:t>
      </w:r>
    </w:p>
    <w:p w14:paraId="6281F6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方正黑体_GBK" w:hAnsi="方正黑体_GBK" w:eastAsia="方正黑体_GBK" w:cs="方正黑体_GBK"/>
          <w:b w:val="0"/>
          <w:bCs/>
          <w:sz w:val="32"/>
          <w:szCs w:val="32"/>
        </w:rPr>
        <w:t>一、主要工作及成效</w:t>
      </w:r>
    </w:p>
    <w:p w14:paraId="7D8551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(一)夯实基础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建强基层医疗卫生健康体系。</w:t>
      </w:r>
      <w:r>
        <w:rPr>
          <w:rFonts w:hint="eastAsia" w:ascii="仿宋_GB2312" w:hAnsi="仿宋_GB2312" w:eastAsia="仿宋_GB2312" w:cs="仿宋_GB2312"/>
          <w:b w:val="0"/>
          <w:bCs/>
          <w:sz w:val="32"/>
          <w:szCs w:val="32"/>
        </w:rPr>
        <w:t>一是财政支持力度持续加大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市政府通过积极向上争取资金、强化市级预算安排、督促各县(市、区)、市直园区加大地方投入等措施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持续加大对基层医疗卫生机构的投入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2020年至2022年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中省市县各级财政投入约13</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92亿元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主要用于支持基层医疗卫生机构基本公共卫生服务、人员经费补助、基本药物制度补助、医疗服务与保障能力提升等支出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为基层医疗卫生事业健康发展提供了有力保障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二是县域医疗体系不断完善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在每个乡镇、每个行政村办好一所达到国家基本标准以上的卫生院和村卫生室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实现了“一镇一院”“一院多点”“一村一室”“一室多医”的布局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全市规划布局15个县域医疗卫生次中心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已建成6个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带动周边乡镇卫生院42个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次中心辐射和带动能力不断增强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推行以县级公立医院为龙头、县域医疗次中心(中心乡镇卫生院)为枢纽、梯次带动一般卫生院、村卫生室的发展模式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加快构建紧密型县域医共体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基层卫生服务体系不断完善</w:t>
      </w:r>
      <w:r>
        <w:rPr>
          <w:rFonts w:hint="eastAsia" w:ascii="仿宋_GB2312" w:hAnsi="仿宋_GB2312" w:eastAsia="仿宋_GB2312" w:cs="仿宋_GB2312"/>
          <w:b w:val="0"/>
          <w:bCs/>
          <w:sz w:val="32"/>
          <w:szCs w:val="32"/>
          <w:lang w:eastAsia="zh-CN"/>
        </w:rPr>
        <w:t>。</w:t>
      </w:r>
    </w:p>
    <w:p w14:paraId="1732D03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(二)改革创新</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推动优质医疗卫生资源共享。</w:t>
      </w:r>
      <w:r>
        <w:rPr>
          <w:rFonts w:hint="eastAsia" w:ascii="仿宋_GB2312" w:hAnsi="仿宋_GB2312" w:eastAsia="仿宋_GB2312" w:cs="仿宋_GB2312"/>
          <w:b w:val="0"/>
          <w:bCs/>
          <w:sz w:val="32"/>
          <w:szCs w:val="32"/>
        </w:rPr>
        <w:t>一是“县域医共体”全国试点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综合运用政策杠杆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推动医共体内逐步实现“八统一”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有效促进了县域优质医疗卫生资源扩容和均衡布局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我市紧密型县域医共体监测指标在全省排名第八</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被国家卫生健康委员会确定为首批城市医联体建设试点城市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二是“城乡医联体”全国创新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创新开展“以城带乡、城乡共建”的全国第五种新型医联体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发挥市级医院的优势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通过市级城市医院与乡镇卫生院深度合作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打造“责任共同体、服务共同体、利益共同体、管理共同体”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创新推进了城市医疗机构和医疗专家“两个下沉”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促使城市医疗机构带动优质医疗资源向农村延伸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三是“联村卫生室”全国首创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针对农村空心化、老龄化的现实以及农村卫生事业结构不优、水平不高、硬件不硬的现状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率先突破以行政村设卫生室的模式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选择农村常住人口多、辐射范围广、交通便捷的地方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跨村甚至跨乡跨县按照“小乡镇卫生院”的功能打造联村示范卫生室30个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实现群众就近就医、便捷就医</w:t>
      </w:r>
      <w:r>
        <w:rPr>
          <w:rFonts w:hint="eastAsia" w:ascii="仿宋_GB2312" w:hAnsi="仿宋_GB2312" w:eastAsia="仿宋_GB2312" w:cs="仿宋_GB2312"/>
          <w:b w:val="0"/>
          <w:bCs/>
          <w:sz w:val="32"/>
          <w:szCs w:val="32"/>
          <w:lang w:eastAsia="zh-CN"/>
        </w:rPr>
        <w:t>。</w:t>
      </w:r>
    </w:p>
    <w:p w14:paraId="416C577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(三)提质赋能</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激发基层医疗机构发展活力。</w:t>
      </w:r>
      <w:r>
        <w:rPr>
          <w:rFonts w:hint="eastAsia" w:ascii="仿宋_GB2312" w:hAnsi="仿宋_GB2312" w:eastAsia="仿宋_GB2312" w:cs="仿宋_GB2312"/>
          <w:b w:val="0"/>
          <w:bCs/>
          <w:sz w:val="32"/>
          <w:szCs w:val="32"/>
        </w:rPr>
        <w:t>一是全面提升服务水平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扎实开展“优质服务基层行”活动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开展乡镇卫生院和社区卫生服务中心等级评审工作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通过不断改善院容院貌、业务管理和服务质量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补齐短板弱项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提高基层防病治病和健康管理能力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成功创建全省第一批基层医疗卫生机构临床特色科室4个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为基层医疗机构增添“特色名片”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吸引百姓在基层就医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二是积极探索发展新路径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针对乡镇卫生院发展面临的困境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运用“兼并合办、帮扶领办、协作联办”三种模式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实行“提升一批、转型一批、整合一批”的发展思路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支持乡镇卫生院多元化、多样化、多维化发展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提升乡镇卫生院的核心竞争力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如船山区桂花中心卫生院发展医养结合项目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2022年业务总收入同比增长26</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22%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在乡镇卫生院业务量普遍萎缩的情况下实现了逆势增长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成为全国医养结合示范基层医疗卫生机构</w:t>
      </w:r>
      <w:r>
        <w:rPr>
          <w:rFonts w:hint="eastAsia" w:ascii="仿宋_GB2312" w:hAnsi="仿宋_GB2312" w:eastAsia="仿宋_GB2312" w:cs="仿宋_GB2312"/>
          <w:b w:val="0"/>
          <w:bCs/>
          <w:sz w:val="32"/>
          <w:szCs w:val="32"/>
          <w:lang w:eastAsia="zh-CN"/>
        </w:rPr>
        <w:t>。</w:t>
      </w:r>
    </w:p>
    <w:p w14:paraId="43C3AB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二、存在的主要问题</w:t>
      </w:r>
    </w:p>
    <w:p w14:paraId="34AF5E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(一)基层医疗机构收支矛盾日益突出。</w:t>
      </w:r>
      <w:r>
        <w:rPr>
          <w:rFonts w:hint="eastAsia" w:ascii="仿宋_GB2312" w:hAnsi="仿宋_GB2312" w:eastAsia="仿宋_GB2312" w:cs="仿宋_GB2312"/>
          <w:b w:val="0"/>
          <w:bCs/>
          <w:sz w:val="32"/>
          <w:szCs w:val="32"/>
        </w:rPr>
        <w:t>一是基本保障不足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县(市、区)级财政对基层医疗机构编制内人员基本保障不到位、不平衡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对乡镇卫生院在编人员没有足额补助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医疗人员工资水平较低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部分乡镇卫生院无法足额缴纳“五险两金”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特别是医院自主聘用编外人员规模大、无财政保障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支出压力十分沉重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据统计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全市基层医疗卫生机构聘用编外医务人员2364人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占总医务人员总数的42%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二是债务负担沉重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由于历史原因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部分基层医疗机构发展过程中举债开展建设或购置医疗设备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形成了一些历史负债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其业务收入主要用于保工资、保运转</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不得不拖欠供应商货款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又形成了新的债务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负债逐年增加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个别乡镇卫生院面临破产的风险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三是收入大幅下降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由于基本药物制度和药品零加成的全面施行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以及农村地区人员严重流失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医疗条件和服务质量的限制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大部分病员流向了上级医院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乡镇卫生院业务严重萎缩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2022年全市乡镇卫生院总诊疗收入较2019年下降4</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2022年总住院收入较2019年下降38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54%</w:t>
      </w:r>
      <w:r>
        <w:rPr>
          <w:rFonts w:hint="eastAsia" w:ascii="仿宋_GB2312" w:hAnsi="仿宋_GB2312" w:eastAsia="仿宋_GB2312" w:cs="仿宋_GB2312"/>
          <w:b w:val="0"/>
          <w:bCs/>
          <w:sz w:val="32"/>
          <w:szCs w:val="32"/>
          <w:lang w:eastAsia="zh-CN"/>
        </w:rPr>
        <w:t>。</w:t>
      </w:r>
    </w:p>
    <w:p w14:paraId="3E7079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(二)基层医疗机构服务能力亟待提升。</w:t>
      </w:r>
      <w:r>
        <w:rPr>
          <w:rFonts w:hint="eastAsia" w:ascii="仿宋_GB2312" w:hAnsi="仿宋_GB2312" w:eastAsia="仿宋_GB2312" w:cs="仿宋_GB2312"/>
          <w:b w:val="0"/>
          <w:bCs/>
          <w:sz w:val="32"/>
          <w:szCs w:val="32"/>
        </w:rPr>
        <w:t>一是基础设施薄弱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虽然近几年通过国家“强基层”的资金投入和建设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绝大多数乡镇卫生院基础设施、院容院貌有了明显改变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但仍有部分乡镇卫生院财务支出以人员经费为主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能用于医院加快自身发展的投入几乎为零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基础设施和检验检查设备陈旧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二是人才支撑不足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部分乡镇卫生院由于工作环境差、薪酬待遇低以及发展空间有限等原因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存在现有人才流失严重、引进人才困难等问题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基层卫生院岗位对中级、高级职称执业医师、护师等急需的专业人员没有吸引力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招聘考试达不到开考比例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为招到人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不得不降低门槛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导致录用人员质量不高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学科带头人和创新型人才缺乏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专科特色不明显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专业拓展困难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部分科室存在歇业风险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难以承担基层首诊、分级诊疗的托底功能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三是供需失衡突出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一方面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随着城市化进程步伐的加快</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农村外出人口增大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空心化、老年化现象日益突出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病源大量流失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部分医疗机构门可罗雀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医疗资源浪费严重</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另一方面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面对服务对象、服务内容的变化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部分基层医疗机构对自身的职能定位不清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转型意识不强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缺乏突破发展困局的思路和途径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服务功能单一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跟不上就诊需求变化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针对老年病、康复理疗、中医、精神类等基层群众就医新需求的特色医疗服务缺乏</w:t>
      </w:r>
      <w:r>
        <w:rPr>
          <w:rFonts w:hint="eastAsia" w:ascii="仿宋_GB2312" w:hAnsi="仿宋_GB2312" w:eastAsia="仿宋_GB2312" w:cs="仿宋_GB2312"/>
          <w:b w:val="0"/>
          <w:bCs/>
          <w:sz w:val="32"/>
          <w:szCs w:val="32"/>
          <w:lang w:eastAsia="zh-CN"/>
        </w:rPr>
        <w:t>。</w:t>
      </w:r>
    </w:p>
    <w:p w14:paraId="6F618E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三、工作建议</w:t>
      </w:r>
    </w:p>
    <w:p w14:paraId="70B40C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(一)落实主体责任</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为基层“减负”</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各级政府要坚持乡村基本医疗卫生服务公益属性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切实落实政府办医主体责任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加大市、县两级财政对基层医疗机构的投入力度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通过积极向上争取资金、持续优化支持结构、强化市级预算安排、指导各辖区加大地方投入等措施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持续加大对基层医疗卫生机构的补助力度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加强对基本建设和大型医疗设备投资项目的审查和管理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将应当由政府进行投资建设的基础设施列入政府投资建设清单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并给予财政资金投入保障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要严控新增债务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高度重视并直面现有债务问题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各县(市、区)政府要专题研究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制定逐年消减政策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探索设立专项资金逐步化解基层债务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确保基层医疗卫生机构良性发展</w:t>
      </w:r>
      <w:r>
        <w:rPr>
          <w:rFonts w:hint="eastAsia" w:ascii="仿宋_GB2312" w:hAnsi="仿宋_GB2312" w:eastAsia="仿宋_GB2312" w:cs="仿宋_GB2312"/>
          <w:b w:val="0"/>
          <w:bCs/>
          <w:sz w:val="32"/>
          <w:szCs w:val="32"/>
          <w:lang w:eastAsia="zh-CN"/>
        </w:rPr>
        <w:t>。</w:t>
      </w:r>
    </w:p>
    <w:p w14:paraId="62957C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(二)推动应势转型</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为基层“赋能”</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准确定位基层医院的职责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对乡镇卫生院提出明确的发展目标和要求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对资源利用率低、病源萎缩的乡镇卫生院调整规模、转变功能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对一些服务人口较多、医疗服务能力较强的乡镇卫生院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可侧重向品牌医疗服务发展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逐步推进多元化建设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坚持以医疗为保障、以康复为支撑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将乡村卫生室逐步打造为医养结合中心、乡镇卫生院分院或门诊部等不同类型医疗机构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整合民政、残联、医保的政策资金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支持有条件的乡镇卫生院向“医防结合、医管康养”的健康管理服务型、质量效益型医疗机构转型</w:t>
      </w:r>
      <w:r>
        <w:rPr>
          <w:rFonts w:hint="eastAsia" w:ascii="仿宋_GB2312" w:hAnsi="仿宋_GB2312" w:eastAsia="仿宋_GB2312" w:cs="仿宋_GB2312"/>
          <w:b w:val="0"/>
          <w:bCs/>
          <w:sz w:val="32"/>
          <w:szCs w:val="32"/>
          <w:lang w:eastAsia="zh-CN"/>
        </w:rPr>
        <w:t>。</w:t>
      </w:r>
    </w:p>
    <w:p w14:paraId="7D4DA4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(三)创新人才使用机制</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为基层“聚才”</w:t>
      </w:r>
      <w:r>
        <w:rPr>
          <w:rFonts w:hint="eastAsia" w:ascii="楷体_GB2312" w:hAnsi="楷体_GB2312" w:eastAsia="楷体_GB2312" w:cs="楷体_GB2312"/>
          <w:b w:val="0"/>
          <w:bCs/>
          <w:sz w:val="32"/>
          <w:szCs w:val="32"/>
          <w:lang w:eastAsia="zh-CN"/>
        </w:rPr>
        <w:t>。</w:t>
      </w:r>
      <w:r>
        <w:rPr>
          <w:rFonts w:hint="eastAsia" w:ascii="仿宋_GB2312" w:hAnsi="仿宋_GB2312" w:eastAsia="仿宋_GB2312" w:cs="仿宋_GB2312"/>
          <w:b w:val="0"/>
          <w:bCs/>
          <w:sz w:val="32"/>
          <w:szCs w:val="32"/>
        </w:rPr>
        <w:t>加大基层医疗卫生机构事业编制的动态调整力度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盘活用好存量编制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支持基层医疗卫生事业单位满编运行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医疗卫生机构可将上一等级专业技术空缺岗位用于下一等级岗位聘用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可将初级岗位结构比例用于中级岗位设置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规范编外人员管理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严控编外人员数量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加强县域医疗卫生人才一体化配置和管理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适当提高乡镇卫生院的中高级专业技术岗位比例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加强对外合作交流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积极对接知名医学院校、大医院优质资源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构建基层医护人员分层分类专业进修、技能培训机制;对内强化“专带新、老带青”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发挥现有骨干医护人才辐射带动作用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不断提升基层医护人员专业能力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逐步提升基层医务人员待遇水平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妥善解决食、住、行等问题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让他们待得住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确保人才队伍长期稳定</w:t>
      </w:r>
      <w:r>
        <w:rPr>
          <w:rFonts w:hint="eastAsia" w:ascii="仿宋_GB2312" w:hAnsi="仿宋_GB2312" w:eastAsia="仿宋_GB2312" w:cs="仿宋_GB2312"/>
          <w:b w:val="0"/>
          <w:bCs/>
          <w:sz w:val="32"/>
          <w:szCs w:val="32"/>
          <w:lang w:eastAsia="zh-CN"/>
        </w:rPr>
        <w:t>。</w:t>
      </w:r>
    </w:p>
    <w:p w14:paraId="46CCDB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52BCC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08C8E5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09F43D6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14270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0DB3B3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C13C5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4E920F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77EB76E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关于打造研学旅游品牌</w:t>
      </w:r>
    </w:p>
    <w:p w14:paraId="6F8B08F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助推文旅高质量发展的调研报告</w:t>
      </w:r>
    </w:p>
    <w:p w14:paraId="49CB0723">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32"/>
          <w:szCs w:val="32"/>
          <w:lang w:val="en-US" w:eastAsia="zh-CN" w:bidi="ar-SA"/>
        </w:rPr>
      </w:pPr>
    </w:p>
    <w:p w14:paraId="19FF7F8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rPr>
      </w:pPr>
      <w:r>
        <w:rPr>
          <w:rFonts w:hint="eastAsia" w:ascii="方正小标宋简体" w:hAnsi="方正小标宋简体" w:eastAsia="方正小标宋简体" w:cs="方正小标宋简体"/>
          <w:b w:val="0"/>
          <w:bCs/>
          <w:kern w:val="44"/>
          <w:sz w:val="32"/>
          <w:szCs w:val="32"/>
          <w:lang w:val="en-US" w:eastAsia="zh-CN" w:bidi="ar-SA"/>
        </w:rPr>
        <w:t>内江市人大常委会</w:t>
      </w:r>
    </w:p>
    <w:p w14:paraId="2797C9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4571ADA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研学旅行具有社会、经济、人才等综合效应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在增强学生实践能力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提升素质教育水平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激发旅游市场活力等方面具有重要作用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是新形势下推动教育事业和文旅产业高质量发展的重要抓手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内江市高度重视研学旅游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并在市委八届六次全会上提出“融合发展文化旅游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深度开发农业、工业、体育、红色等多领域研学路线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做大做强‘小甜足迹’全域研学品牌”的目标任务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内江市人大常委会紧紧围绕市委中心任务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将研学旅游助推文旅高质量发展纳入重要监督工作加以推进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成立调研组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对该项工作展开专项调研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形成报告如下</w:t>
      </w:r>
      <w:r>
        <w:rPr>
          <w:rFonts w:hint="eastAsia" w:ascii="仿宋_GB2312" w:hAnsi="仿宋_GB2312" w:eastAsia="仿宋_GB2312" w:cs="仿宋_GB2312"/>
          <w:b w:val="0"/>
          <w:bCs/>
          <w:sz w:val="32"/>
          <w:szCs w:val="32"/>
          <w:lang w:eastAsia="zh-CN"/>
        </w:rPr>
        <w:t>。</w:t>
      </w:r>
    </w:p>
    <w:p w14:paraId="6E7EE0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sz w:val="32"/>
          <w:szCs w:val="32"/>
        </w:rPr>
        <w:t>一、全市研学旅游主要工作情况</w:t>
      </w:r>
    </w:p>
    <w:p w14:paraId="4D4702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自2021年以来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内江市研学旅游工作坚持政府主导、部门协作、市场运作、市县联动、全域统筹的工作思路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以教育为驱动、文化为核心、旅游为载体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用活研学旅游支持政策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持续推进研学基地建设、课程开发和市场营销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逐步成为带动内江文旅高质量发展的新引擎、新动力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全市现有研学基地23家、研学承办机构50家、专兼职研学导师300余名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形成从课程开发、基地建设、导师培训到市场营销的完整产业链条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2023年3月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内江市全域研学模式在全省研学旅游推进会上作交流并得到行业认可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2024年3月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内江市成为全省首个与省研学旅游产业促进会结对帮扶的签约市州</w:t>
      </w:r>
      <w:r>
        <w:rPr>
          <w:rFonts w:hint="eastAsia" w:ascii="仿宋_GB2312" w:hAnsi="仿宋_GB2312" w:eastAsia="仿宋_GB2312" w:cs="仿宋_GB2312"/>
          <w:b w:val="0"/>
          <w:bCs/>
          <w:sz w:val="32"/>
          <w:szCs w:val="32"/>
          <w:lang w:eastAsia="zh-CN"/>
        </w:rPr>
        <w:t>。</w:t>
      </w:r>
    </w:p>
    <w:p w14:paraId="096FE2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(一)强化保障机制。</w:t>
      </w:r>
      <w:r>
        <w:rPr>
          <w:rFonts w:hint="eastAsia" w:ascii="仿宋_GB2312" w:hAnsi="仿宋_GB2312" w:eastAsia="仿宋_GB2312" w:cs="仿宋_GB2312"/>
          <w:b w:val="0"/>
          <w:bCs/>
          <w:sz w:val="32"/>
          <w:szCs w:val="32"/>
        </w:rPr>
        <w:t>加强组织领导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成立中小学生研学旅游工作协调小组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明确教育、文旅、人社等市级部门责任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建立联席会议制度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围绕标准制定、制度建设、业务构建、活动组织、人才保障等方面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不断完善研学旅游运行保障机制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强化政策措施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充分整合叠加部门之间各自领域研学旅游相关支持政策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先后出台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内江市中小学生全域研学旅游发展工作方案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等系列扶持政策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强化行业监管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构建部门、学校、教师、委托企业、家长、学生、保险公司各负其责、同向发力的责任划分机制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促进研学旅游安全有效监管</w:t>
      </w:r>
      <w:r>
        <w:rPr>
          <w:rFonts w:hint="eastAsia" w:ascii="仿宋_GB2312" w:hAnsi="仿宋_GB2312" w:eastAsia="仿宋_GB2312" w:cs="仿宋_GB2312"/>
          <w:b w:val="0"/>
          <w:bCs/>
          <w:sz w:val="32"/>
          <w:szCs w:val="32"/>
          <w:lang w:eastAsia="zh-CN"/>
        </w:rPr>
        <w:t>。</w:t>
      </w:r>
    </w:p>
    <w:p w14:paraId="31BED45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(二)加快基地建设。</w:t>
      </w:r>
      <w:r>
        <w:rPr>
          <w:rFonts w:hint="eastAsia" w:ascii="仿宋_GB2312" w:hAnsi="仿宋_GB2312" w:eastAsia="仿宋_GB2312" w:cs="仿宋_GB2312"/>
          <w:b w:val="0"/>
          <w:bCs/>
          <w:sz w:val="32"/>
          <w:szCs w:val="32"/>
        </w:rPr>
        <w:t>规划“五区协同、九线串联、十点闪耀、全面繁荣”研学发展空间布局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市级研学旅游实践基地(营地)评分表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统筹全市景区景点、名人故居、农业园区、工业遗产、文博场馆等各类文旅资源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分类错位规划研学营地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推动A级景区、文博场馆、历史文化和工业遗址等创建研学品牌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建成川威工业研学营地、隆昌川渝青少年示范综合实践营地等5个中心研学基地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构建起涵盖知识科普、自然探索、文化教育、体验考察等方面的研学产品体系</w:t>
      </w:r>
      <w:r>
        <w:rPr>
          <w:rFonts w:hint="eastAsia" w:ascii="仿宋_GB2312" w:hAnsi="仿宋_GB2312" w:eastAsia="仿宋_GB2312" w:cs="仿宋_GB2312"/>
          <w:b w:val="0"/>
          <w:bCs/>
          <w:sz w:val="32"/>
          <w:szCs w:val="32"/>
          <w:lang w:eastAsia="zh-CN"/>
        </w:rPr>
        <w:t>。</w:t>
      </w:r>
    </w:p>
    <w:p w14:paraId="682AA29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(三)有序开发课程。</w:t>
      </w:r>
      <w:r>
        <w:rPr>
          <w:rFonts w:hint="eastAsia" w:ascii="仿宋_GB2312" w:hAnsi="仿宋_GB2312" w:eastAsia="仿宋_GB2312" w:cs="仿宋_GB2312"/>
          <w:b w:val="0"/>
          <w:bCs/>
          <w:sz w:val="32"/>
          <w:szCs w:val="32"/>
        </w:rPr>
        <w:t>突出寓学于游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高起点制定全域研学旅游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将书画、状元、糖业等文化基因融入研学旅游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整合内江圣水寺、威远县盐煤古道等历史文化古迹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用活红色教育资源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传承与利用非物质文化遗产项目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精心设计不同主题的旅游线路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包装了各具特色的精品研学线路9条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依托专业团队、驻地高校和教育科研力量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将特色课程、实战体验、研学文创、过程评价、成果考核融入课程开发全过程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开发出跨学段、跨学科主题课程54门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打造了研学实践特色学校18所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其中隆昌市圣灯镇中心校依托省级红色研学基地毛主席视察隆昌气矿遗址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入选教育部“一校一案”典型案例</w:t>
      </w:r>
      <w:r>
        <w:rPr>
          <w:rFonts w:hint="eastAsia" w:ascii="仿宋_GB2312" w:hAnsi="仿宋_GB2312" w:eastAsia="仿宋_GB2312" w:cs="仿宋_GB2312"/>
          <w:b w:val="0"/>
          <w:bCs/>
          <w:sz w:val="32"/>
          <w:szCs w:val="32"/>
          <w:lang w:eastAsia="zh-CN"/>
        </w:rPr>
        <w:t>。</w:t>
      </w:r>
    </w:p>
    <w:p w14:paraId="765F3B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(四)拓展市场空间。</w:t>
      </w:r>
      <w:r>
        <w:rPr>
          <w:rFonts w:hint="eastAsia" w:ascii="仿宋_GB2312" w:hAnsi="仿宋_GB2312" w:eastAsia="仿宋_GB2312" w:cs="仿宋_GB2312"/>
          <w:b w:val="0"/>
          <w:bCs/>
          <w:sz w:val="32"/>
          <w:szCs w:val="32"/>
        </w:rPr>
        <w:t>组建内江全域研学公司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统筹基地建设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管理调度平台、组建导师队伍、完善保障体系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整合市场资源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积极开拓全民研学旅游市场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培训并储备专兼职研学指导师、安全员1300余人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配套营地床位3000余张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带动就业近千人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市场总规模超5亿元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“研学＋”文旅融合发展态势基本形成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推动研学旅游成为内江文旅新标识和文旅经济新增长点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加强与川渝地区密切合作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积极拓展川南渝西周边客源市场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与自贡、泸州、宜宾签订川南四市文旅企业研学联动协议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不断拓展市场空间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内江市现有中小学校362所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在校中小学生总人数达35万人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据不完全统计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2023年至2024年3月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全市共接待研学旅游总人次30万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其中接待在校中小学生总人次20万</w:t>
      </w:r>
      <w:r>
        <w:rPr>
          <w:rFonts w:hint="eastAsia" w:ascii="仿宋_GB2312" w:hAnsi="仿宋_GB2312" w:eastAsia="仿宋_GB2312" w:cs="仿宋_GB2312"/>
          <w:b w:val="0"/>
          <w:bCs/>
          <w:sz w:val="32"/>
          <w:szCs w:val="32"/>
          <w:lang w:eastAsia="zh-CN"/>
        </w:rPr>
        <w:t>。</w:t>
      </w:r>
    </w:p>
    <w:p w14:paraId="4D63A9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二、存在的主要问题</w:t>
      </w:r>
    </w:p>
    <w:p w14:paraId="32DC8D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(一)市场秩序和运行管理还不够规范。</w:t>
      </w:r>
      <w:r>
        <w:rPr>
          <w:rFonts w:hint="eastAsia" w:ascii="仿宋_GB2312" w:hAnsi="仿宋_GB2312" w:eastAsia="仿宋_GB2312" w:cs="仿宋_GB2312"/>
          <w:b w:val="0"/>
          <w:bCs/>
          <w:sz w:val="32"/>
          <w:szCs w:val="32"/>
        </w:rPr>
        <w:t>一是监管机制不够健全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对相关部门的监管职责划分不够明晰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对产品服务</w:t>
      </w:r>
    </w:p>
    <w:p w14:paraId="16F9706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质量、行业考核评估和健康发展等重点事项的监管机制还不完善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密切配合、协调联动的工作格局尚未形成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培育市场主体不够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二是运行形式规范不够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当前研学旅游市场进入门槛低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准入、退出机制不够完善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部分运营公司和基地营地间角色定位还不够清晰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行业标准不健全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三是统计工作滞后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研学旅游团队接待数据统计分析工作没及时跟上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全程、实时、动态监管不够</w:t>
      </w:r>
      <w:r>
        <w:rPr>
          <w:rFonts w:hint="eastAsia" w:ascii="仿宋_GB2312" w:hAnsi="仿宋_GB2312" w:eastAsia="仿宋_GB2312" w:cs="仿宋_GB2312"/>
          <w:b w:val="0"/>
          <w:bCs/>
          <w:sz w:val="32"/>
          <w:szCs w:val="32"/>
          <w:lang w:eastAsia="zh-CN"/>
        </w:rPr>
        <w:t>。</w:t>
      </w:r>
    </w:p>
    <w:p w14:paraId="7FCA26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(二)基地营地建设存在短板。</w:t>
      </w:r>
      <w:r>
        <w:rPr>
          <w:rFonts w:hint="eastAsia" w:ascii="仿宋_GB2312" w:hAnsi="仿宋_GB2312" w:eastAsia="仿宋_GB2312" w:cs="仿宋_GB2312"/>
          <w:b w:val="0"/>
          <w:bCs/>
          <w:sz w:val="32"/>
          <w:szCs w:val="32"/>
        </w:rPr>
        <w:t>建设标准上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内江市研学旅游基地营地普遍存在建设规模偏小、教学设施不够完善、设备不够先进的现象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缺乏演示、体验、实践等专业设施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难以满足研学教学活动需求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接待能力上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大部分营地在食宿保障、基地的服务水平上尚不能完全满足学生要求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制约了研学旅游产业发展</w:t>
      </w:r>
      <w:r>
        <w:rPr>
          <w:rFonts w:hint="eastAsia" w:ascii="仿宋_GB2312" w:hAnsi="仿宋_GB2312" w:eastAsia="仿宋_GB2312" w:cs="仿宋_GB2312"/>
          <w:b w:val="0"/>
          <w:bCs/>
          <w:sz w:val="32"/>
          <w:szCs w:val="32"/>
          <w:lang w:eastAsia="zh-CN"/>
        </w:rPr>
        <w:t>。</w:t>
      </w:r>
    </w:p>
    <w:p w14:paraId="230C6C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(三)研学旅游产品不够丰富。</w:t>
      </w:r>
      <w:r>
        <w:rPr>
          <w:rFonts w:hint="eastAsia" w:ascii="仿宋_GB2312" w:hAnsi="仿宋_GB2312" w:eastAsia="仿宋_GB2312" w:cs="仿宋_GB2312"/>
          <w:b w:val="0"/>
          <w:bCs/>
          <w:sz w:val="32"/>
          <w:szCs w:val="32"/>
        </w:rPr>
        <w:t>一是实践课程设置衔接不够紧密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主题课程虽门类较齐但细分不够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内容同质化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互动体验不足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二是研学旅游衍生品开发不足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针对工业遗产、红色教育、遗产保护开发的文创产品和旅游商品不多不全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未能提升产品附加值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三是统一对外宣传的研学品牌统领意识不强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市场主体大都继续沿用自身品牌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导致“小甜足迹”品牌覆盖面不够广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知晓度不够高</w:t>
      </w:r>
      <w:r>
        <w:rPr>
          <w:rFonts w:hint="eastAsia" w:ascii="仿宋_GB2312" w:hAnsi="仿宋_GB2312" w:eastAsia="仿宋_GB2312" w:cs="仿宋_GB2312"/>
          <w:b w:val="0"/>
          <w:bCs/>
          <w:sz w:val="32"/>
          <w:szCs w:val="32"/>
          <w:lang w:eastAsia="zh-CN"/>
        </w:rPr>
        <w:t>。</w:t>
      </w:r>
    </w:p>
    <w:p w14:paraId="32F312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(四)市场消费潜力尚未充分释放。</w:t>
      </w:r>
      <w:r>
        <w:rPr>
          <w:rFonts w:hint="eastAsia" w:ascii="仿宋_GB2312" w:hAnsi="仿宋_GB2312" w:eastAsia="仿宋_GB2312" w:cs="仿宋_GB2312"/>
          <w:b w:val="0"/>
          <w:bCs/>
          <w:sz w:val="32"/>
          <w:szCs w:val="32"/>
        </w:rPr>
        <w:t>研学旅游组织中的安全管控压力大、费用筹措难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研学课程与教学大纲有效衔接不够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部分学校和家长对研学旅游态度不够积极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组织安排学生参与研学旅游活动偏少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整个研学游市场消费潜力没有得到有效释放</w:t>
      </w:r>
      <w:r>
        <w:rPr>
          <w:rFonts w:hint="eastAsia" w:ascii="仿宋_GB2312" w:hAnsi="仿宋_GB2312" w:eastAsia="仿宋_GB2312" w:cs="仿宋_GB2312"/>
          <w:b w:val="0"/>
          <w:bCs/>
          <w:sz w:val="32"/>
          <w:szCs w:val="32"/>
          <w:lang w:eastAsia="zh-CN"/>
        </w:rPr>
        <w:t>。</w:t>
      </w:r>
    </w:p>
    <w:p w14:paraId="1A57A3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三、对策建议</w:t>
      </w:r>
    </w:p>
    <w:p w14:paraId="1D17D59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(一)强化要素保障</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规范研学旅游市场。</w:t>
      </w:r>
      <w:r>
        <w:rPr>
          <w:rFonts w:hint="eastAsia" w:ascii="仿宋_GB2312" w:hAnsi="仿宋_GB2312" w:eastAsia="仿宋_GB2312" w:cs="仿宋_GB2312"/>
          <w:b w:val="0"/>
          <w:bCs/>
          <w:sz w:val="32"/>
          <w:szCs w:val="32"/>
        </w:rPr>
        <w:t>一要细化责任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加大研学旅游市场主体培育力度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进一步完善联席会议机制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充分发挥各部门职责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加强全过程研学旅游管控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二要完善机制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按照研学旅游各项要求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出台新(扩)建基地(营地)项目系列激励政策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鼓励打造研学旅游品牌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助推全市文旅融合发展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三要强化管理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加强行业安全监管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优化行业运营环境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规范行业标准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搭建行业自我服务自我管理平台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促进研学旅游行业市场化、法制化、规范化管理</w:t>
      </w:r>
      <w:r>
        <w:rPr>
          <w:rFonts w:hint="eastAsia" w:ascii="仿宋_GB2312" w:hAnsi="仿宋_GB2312" w:eastAsia="仿宋_GB2312" w:cs="仿宋_GB2312"/>
          <w:b w:val="0"/>
          <w:bCs/>
          <w:sz w:val="32"/>
          <w:szCs w:val="32"/>
          <w:lang w:eastAsia="zh-CN"/>
        </w:rPr>
        <w:t>。</w:t>
      </w:r>
    </w:p>
    <w:p w14:paraId="6F7C80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(二)坚持问题导向</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提升接待服务水平。</w:t>
      </w:r>
      <w:r>
        <w:rPr>
          <w:rFonts w:hint="eastAsia" w:ascii="仿宋_GB2312" w:hAnsi="仿宋_GB2312" w:eastAsia="仿宋_GB2312" w:cs="仿宋_GB2312"/>
          <w:b w:val="0"/>
          <w:bCs/>
          <w:sz w:val="32"/>
          <w:szCs w:val="32"/>
        </w:rPr>
        <w:t>一要高起点规划布局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依托红色、绿色、古色文化旅游资源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统筹基地营地布点规划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形成规划合理、互联互通的研学基地营地布局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二要高标准提档建设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鼓励探索多元发展模式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积极引进社会资本参与建设经营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加快推动研学基地营地的标准化、规范化、精品化建设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三要高质量服务保障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对现有部分研学游基地进行提升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保证每个研学基地都有规模适当的专门研学场地、教室、自身或周边有保证学生就餐住宿等场所、数量适宜的医护人员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提升研学游接待服务能力和品质</w:t>
      </w:r>
      <w:r>
        <w:rPr>
          <w:rFonts w:hint="eastAsia" w:ascii="仿宋_GB2312" w:hAnsi="仿宋_GB2312" w:eastAsia="仿宋_GB2312" w:cs="仿宋_GB2312"/>
          <w:b w:val="0"/>
          <w:bCs/>
          <w:sz w:val="32"/>
          <w:szCs w:val="32"/>
          <w:lang w:eastAsia="zh-CN"/>
        </w:rPr>
        <w:t>。</w:t>
      </w:r>
    </w:p>
    <w:p w14:paraId="31382BC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(三)创新业态模式</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推动研学提质增效。</w:t>
      </w:r>
      <w:r>
        <w:rPr>
          <w:rFonts w:hint="eastAsia" w:ascii="仿宋_GB2312" w:hAnsi="仿宋_GB2312" w:eastAsia="仿宋_GB2312" w:cs="仿宋_GB2312"/>
          <w:b w:val="0"/>
          <w:bCs/>
          <w:sz w:val="32"/>
          <w:szCs w:val="32"/>
        </w:rPr>
        <w:t>一是创新体验式主题课程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依托我市康养、红色、农业、人文等特色资源和非遗传承项目等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针对全龄段客群包装研学线路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丰富实践课程内容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避免同质化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增加互动沉浸式体验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促进研学旅游可持续发展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二是创新开发研学衍生品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结合工业遗产、红色教育、文博场馆的独特符号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因地制宜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深度开发各类衍生产品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拉动研学旅游消费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促进研学旅游高质量发展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三是创新智慧旅游平台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加强研学旅游团队接待数据统计工作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建立旅游信息共享与服务机制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建设标准统一、功能完善、融合服务的智能平台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监测旅游实时数据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科学研判研学旅游市场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提升旅游管理服务智慧化水平</w:t>
      </w:r>
      <w:r>
        <w:rPr>
          <w:rFonts w:hint="eastAsia" w:ascii="仿宋_GB2312" w:hAnsi="仿宋_GB2312" w:eastAsia="仿宋_GB2312" w:cs="仿宋_GB2312"/>
          <w:b w:val="0"/>
          <w:bCs/>
          <w:sz w:val="32"/>
          <w:szCs w:val="32"/>
          <w:lang w:eastAsia="zh-CN"/>
        </w:rPr>
        <w:t>。</w:t>
      </w:r>
    </w:p>
    <w:p w14:paraId="6D2D75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(四)激发市场活力</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助推文旅融合发展。</w:t>
      </w:r>
      <w:r>
        <w:rPr>
          <w:rFonts w:hint="eastAsia" w:ascii="仿宋_GB2312" w:hAnsi="仿宋_GB2312" w:eastAsia="仿宋_GB2312" w:cs="仿宋_GB2312"/>
          <w:b w:val="0"/>
          <w:bCs/>
          <w:sz w:val="32"/>
          <w:szCs w:val="32"/>
        </w:rPr>
        <w:t>一要增强研学市场竞争力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组建壮大专业营销力量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加强业务培训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拓宽营销渠道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优化产品和服务供给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快速抢占全龄段研学旅游市场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二要增强研学市场影响力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各级研学机构、学校和市级主流媒体等要加强对研学旅游的正面宣传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让广大家长和学生了解并支持正规研学机构的相关活动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要借助文旅大会、旅博会和教育现场会等平台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统一规范使用“小甜足迹”形象标识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推介内江精品研学路线和拳头产品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有效扩大内江研学旅游影响力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三要增强研学市场拓展力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消除地方保护壁垒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在优先开展本县区研学旅游的基础上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鼓励支持跨区县、跨市州开展研学活动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加强与川南渝西地区合作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强化引流互送客源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不断做大研学市场</w:t>
      </w:r>
      <w:r>
        <w:rPr>
          <w:rFonts w:hint="eastAsia" w:ascii="仿宋_GB2312" w:hAnsi="仿宋_GB2312" w:eastAsia="仿宋_GB2312" w:cs="仿宋_GB2312"/>
          <w:b w:val="0"/>
          <w:bCs/>
          <w:sz w:val="32"/>
          <w:szCs w:val="32"/>
          <w:lang w:eastAsia="zh-CN"/>
        </w:rPr>
        <w:t>。</w:t>
      </w:r>
    </w:p>
    <w:p w14:paraId="33C26F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571CC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27EFE24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关于基础教育学校布局与建设的调研报告</w:t>
      </w:r>
    </w:p>
    <w:p w14:paraId="64A5FFC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32"/>
          <w:szCs w:val="32"/>
          <w:lang w:val="en-US" w:eastAsia="zh-CN" w:bidi="ar-SA"/>
        </w:rPr>
      </w:pPr>
    </w:p>
    <w:p w14:paraId="665336A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32"/>
          <w:szCs w:val="32"/>
          <w:lang w:val="en-US" w:eastAsia="zh-CN" w:bidi="ar-SA"/>
        </w:rPr>
      </w:pPr>
      <w:r>
        <w:rPr>
          <w:rFonts w:hint="eastAsia" w:ascii="方正小标宋简体" w:hAnsi="方正小标宋简体" w:eastAsia="方正小标宋简体" w:cs="方正小标宋简体"/>
          <w:b w:val="0"/>
          <w:bCs/>
          <w:kern w:val="44"/>
          <w:sz w:val="32"/>
          <w:szCs w:val="32"/>
          <w:lang w:val="en-US" w:eastAsia="zh-CN" w:bidi="ar-SA"/>
        </w:rPr>
        <w:t>宜宾市人大常委会</w:t>
      </w:r>
    </w:p>
    <w:p w14:paraId="511850C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08C74B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2023年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按照市人大常委会监督工作计划安排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宜宾市人大常委会专题调研宜宾基础教育学校布局与建设有关情况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形成调研报告如下</w:t>
      </w:r>
      <w:r>
        <w:rPr>
          <w:rFonts w:hint="eastAsia" w:ascii="仿宋_GB2312" w:hAnsi="仿宋_GB2312" w:eastAsia="仿宋_GB2312" w:cs="仿宋_GB2312"/>
          <w:b w:val="0"/>
          <w:bCs/>
          <w:sz w:val="32"/>
          <w:szCs w:val="32"/>
          <w:lang w:eastAsia="zh-CN"/>
        </w:rPr>
        <w:t>。</w:t>
      </w:r>
    </w:p>
    <w:p w14:paraId="2E2C5FD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一、做法和成效</w:t>
      </w:r>
    </w:p>
    <w:p w14:paraId="687E10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市人民政府持续加强基础教育学校布局与建设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促进全市基础教育发展取得显著成效</w:t>
      </w:r>
      <w:r>
        <w:rPr>
          <w:rFonts w:hint="eastAsia" w:ascii="仿宋_GB2312" w:hAnsi="仿宋_GB2312" w:eastAsia="仿宋_GB2312" w:cs="仿宋_GB2312"/>
          <w:b w:val="0"/>
          <w:bCs/>
          <w:sz w:val="32"/>
          <w:szCs w:val="32"/>
          <w:lang w:eastAsia="zh-CN"/>
        </w:rPr>
        <w:t>。</w:t>
      </w:r>
    </w:p>
    <w:p w14:paraId="799BCF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(一)注重系统施策。</w:t>
      </w:r>
      <w:r>
        <w:rPr>
          <w:rFonts w:hint="eastAsia" w:ascii="仿宋_GB2312" w:hAnsi="仿宋_GB2312" w:eastAsia="仿宋_GB2312" w:cs="仿宋_GB2312"/>
          <w:b w:val="0"/>
          <w:bCs/>
          <w:sz w:val="32"/>
          <w:szCs w:val="32"/>
        </w:rPr>
        <w:t>一是强化组织领导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坚定实施“教育优先发展”战略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通过市委教育工作领导小组和教育体制改革专项小组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把基础教育布局与建设纳入教育改革发展的重要事项认真研究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市人民政府整合教育、财政、住建、自规等部门力量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督促组建学校布局优化、项目推进及要素保障专班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加强力量保障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二是健全优化政策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在出台推动基础教育高质量发展、全面消除中小学大班额等系列文件基础上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编制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宜宾市优化学校布局和建设三年行动方案(2023—2025年)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明确调整优化基础教育学校布局、推动有关项目建设的目标任务、方法路径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三是深化教育改革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制定下发中小学(幼儿园)五育并举评价改革试点方案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确立五育并举、拔尖创</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t>新人才培养、德育体育、自导式教学等150所试点学校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推行学前教育集团化发展改革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采取“龙头园＋骨干园＋加盟园”模式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以优质园辐射带动薄弱园发展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典型经验在全省交流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推进义务教育学区制管理改革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采取“名校＋弱校”“名校＋农村学校”“名校＋新校”等举措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促进优质教育资源得到深度共享</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持续实施“三名工程”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教师队伍“县管校聘”管理改革有序推行</w:t>
      </w:r>
      <w:r>
        <w:rPr>
          <w:rFonts w:hint="eastAsia" w:ascii="仿宋_GB2312" w:hAnsi="仿宋_GB2312" w:eastAsia="仿宋_GB2312" w:cs="仿宋_GB2312"/>
          <w:b w:val="0"/>
          <w:bCs/>
          <w:sz w:val="32"/>
          <w:szCs w:val="32"/>
          <w:lang w:eastAsia="zh-CN"/>
        </w:rPr>
        <w:t>。</w:t>
      </w:r>
    </w:p>
    <w:p w14:paraId="2D15FF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(二)工作推进有力。</w:t>
      </w:r>
      <w:r>
        <w:rPr>
          <w:rFonts w:hint="eastAsia" w:ascii="仿宋_GB2312" w:hAnsi="仿宋_GB2312" w:eastAsia="仿宋_GB2312" w:cs="仿宋_GB2312"/>
          <w:b w:val="0"/>
          <w:bCs/>
          <w:sz w:val="32"/>
          <w:szCs w:val="32"/>
        </w:rPr>
        <w:t>一是优化财政经费保障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全市切实加大对基础教育项目建设投入保障力度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各县(区)先后实施了薄弱学校改造工程、校安工程、义务教育学校标准化建设工程等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2023年市级财政安排基础教育、中职教育专项经费预算分别为2亿元、1亿元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用于项目建设奖补、五育并举、科学评价等教育工作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二是动态调整学校布局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2021、2022年调整中小学幼儿园学校135所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小学教学点497个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2023—2025年将继续调整、合并、撤销学校318所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撤并农村校点优先转办为村级幼儿园(班)或建成研学实践基地、中职学校实训基地、劳动教育基地等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尽力将闲置资源转化利用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三是扎实推进项目建设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为不断优化城乡教育资源供给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完成134所中心城镇幼儿园项目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增加学前教育学位3</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43万余个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完成“幸福宜宾”基础教育提升工程164个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实现适龄学生应读尽读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2023年启动实施优化学校布局和建设三年行动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拟新建、改扩建学校项目282个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1-9月累计完成投资73</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07亿元</w:t>
      </w:r>
      <w:r>
        <w:rPr>
          <w:rFonts w:hint="eastAsia" w:ascii="仿宋_GB2312" w:hAnsi="仿宋_GB2312" w:eastAsia="仿宋_GB2312" w:cs="仿宋_GB2312"/>
          <w:b w:val="0"/>
          <w:bCs/>
          <w:sz w:val="32"/>
          <w:szCs w:val="32"/>
          <w:lang w:eastAsia="zh-CN"/>
        </w:rPr>
        <w:t>。</w:t>
      </w:r>
    </w:p>
    <w:p w14:paraId="63A52A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(三)成效逐步显现。</w:t>
      </w:r>
      <w:r>
        <w:rPr>
          <w:rFonts w:hint="eastAsia" w:ascii="仿宋_GB2312" w:hAnsi="仿宋_GB2312" w:eastAsia="仿宋_GB2312" w:cs="仿宋_GB2312"/>
          <w:b w:val="0"/>
          <w:bCs/>
          <w:sz w:val="32"/>
          <w:szCs w:val="32"/>
        </w:rPr>
        <w:t>一是推动学前教育普及普惠发展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采取政府投建、小区配建等方式补齐短板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扩大普惠幼儿园供给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翠屏区、南溪区、江安县、三江新区学前教育普及普惠发展已通过省级督导评估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计划2023年至2025年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全市所有县(区)逐步通过省级督导评估和国家认定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二是注重义务教育优质均衡发展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义务教育优质发展共同体领航学校示范引领作用发挥较好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实现学区内优质教育资源的辐射推广与合成再造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打破校际壁垒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缩小校际差异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各县(区)对照义务教育优质均衡发展要求着力改善办学条件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如翠屏区做强白花、李庄两大教育副中心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构建“一核两翼多枝”学校布局体系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加快缩小区域、城乡、校际差距;兴文县推进寄宿制学校建设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实现农村义务教育学生全寄宿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三是突出普通高中多元特色发展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普通高中阶段学校标准化建设有序推进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部分项目的投入使用极大缓解“选课走班”教学要求带来的困扰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教育资源持续优化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2023年我市普通高中一本、本科上线人数连续14年增长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被清华、北京大学录取人数创历史新高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四是实施职业教育提升提质发展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对照职业学校办学条件达标重点监测指标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中职学校办学条件达标计划安排表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采取措施逐步解决部分中等职业学校实训基地不达标等问题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2023年职业教育高考本科上线人数居全省第一</w:t>
      </w:r>
      <w:r>
        <w:rPr>
          <w:rFonts w:hint="eastAsia" w:ascii="仿宋_GB2312" w:hAnsi="仿宋_GB2312" w:eastAsia="仿宋_GB2312" w:cs="仿宋_GB2312"/>
          <w:b w:val="0"/>
          <w:bCs/>
          <w:sz w:val="32"/>
          <w:szCs w:val="32"/>
          <w:lang w:eastAsia="zh-CN"/>
        </w:rPr>
        <w:t>。</w:t>
      </w:r>
    </w:p>
    <w:p w14:paraId="4F041E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sz w:val="32"/>
          <w:szCs w:val="32"/>
        </w:rPr>
        <w:t>二、主要困难和问题</w:t>
      </w:r>
    </w:p>
    <w:p w14:paraId="581671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在城镇化进程加快</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人口流动频繁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实施三孩政策后新出生人口依然下降的现实背景下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基础教育学校布局和建设面临以下问题</w:t>
      </w:r>
      <w:r>
        <w:rPr>
          <w:rFonts w:hint="eastAsia" w:ascii="仿宋_GB2312" w:hAnsi="仿宋_GB2312" w:eastAsia="仿宋_GB2312" w:cs="仿宋_GB2312"/>
          <w:b w:val="0"/>
          <w:bCs/>
          <w:sz w:val="32"/>
          <w:szCs w:val="32"/>
          <w:lang w:eastAsia="zh-CN"/>
        </w:rPr>
        <w:t>。</w:t>
      </w:r>
    </w:p>
    <w:p w14:paraId="443D13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(一)制度机制有待完善。</w:t>
      </w:r>
      <w:r>
        <w:rPr>
          <w:rFonts w:hint="eastAsia" w:ascii="仿宋_GB2312" w:hAnsi="仿宋_GB2312" w:eastAsia="仿宋_GB2312" w:cs="仿宋_GB2312"/>
          <w:b w:val="0"/>
          <w:bCs/>
          <w:sz w:val="32"/>
          <w:szCs w:val="32"/>
        </w:rPr>
        <w:t>市、县(区)部门、学校、代建单位之间的联动协调机制有待建立完善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受信息沟通、工作联络不及时等影响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导致有的项目存在的问题不能及时解决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未按计划开工或竣工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义务教育公办民办学校同步招生等政策有待完善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寄宿制学校管理相关制度有待建立健全</w:t>
      </w:r>
      <w:r>
        <w:rPr>
          <w:rFonts w:hint="eastAsia" w:ascii="仿宋_GB2312" w:hAnsi="仿宋_GB2312" w:eastAsia="仿宋_GB2312" w:cs="仿宋_GB2312"/>
          <w:b w:val="0"/>
          <w:bCs/>
          <w:sz w:val="32"/>
          <w:szCs w:val="32"/>
          <w:lang w:eastAsia="zh-CN"/>
        </w:rPr>
        <w:t>。</w:t>
      </w:r>
    </w:p>
    <w:p w14:paraId="6F139F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(二)资源布局有待优化。</w:t>
      </w:r>
      <w:r>
        <w:rPr>
          <w:rFonts w:hint="eastAsia" w:ascii="仿宋_GB2312" w:hAnsi="仿宋_GB2312" w:eastAsia="仿宋_GB2312" w:cs="仿宋_GB2312"/>
          <w:b w:val="0"/>
          <w:bCs/>
          <w:sz w:val="32"/>
          <w:szCs w:val="32"/>
        </w:rPr>
        <w:t>乡村学校学位闲置较为普遍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中心城区老城区幼儿园、义务教育学校吸收外来务工人员子女基本能够满足需求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但中心城区新区、高新区以及县城等区域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存在结构性、阶段性供给总量不足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有的中职学校办学条件达标存在瓶颈制约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有的民办学校受政策调整以及公办学校优质教育资源供给加大等影响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生源受限</w:t>
      </w:r>
      <w:r>
        <w:rPr>
          <w:rFonts w:hint="eastAsia" w:ascii="仿宋_GB2312" w:hAnsi="仿宋_GB2312" w:eastAsia="仿宋_GB2312" w:cs="仿宋_GB2312"/>
          <w:b w:val="0"/>
          <w:bCs/>
          <w:sz w:val="32"/>
          <w:szCs w:val="32"/>
          <w:lang w:eastAsia="zh-CN"/>
        </w:rPr>
        <w:t>。</w:t>
      </w:r>
    </w:p>
    <w:p w14:paraId="31A6A7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(三)要素保障有待加强。</w:t>
      </w:r>
      <w:r>
        <w:rPr>
          <w:rFonts w:hint="eastAsia" w:ascii="仿宋_GB2312" w:hAnsi="仿宋_GB2312" w:eastAsia="仿宋_GB2312" w:cs="仿宋_GB2312"/>
          <w:b w:val="0"/>
          <w:bCs/>
          <w:sz w:val="32"/>
          <w:szCs w:val="32"/>
        </w:rPr>
        <w:t>有的学校项目前期工作薄弱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有的学校项目因土地指标问题不能如期推动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有的学校项目前期选址与国土空间规划衔接论证不充分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导致需重新选址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部分基础教育学校项目因资金匮乏、到位不及时等推进滞后</w:t>
      </w:r>
      <w:r>
        <w:rPr>
          <w:rFonts w:hint="eastAsia" w:ascii="仿宋_GB2312" w:hAnsi="仿宋_GB2312" w:eastAsia="仿宋_GB2312" w:cs="仿宋_GB2312"/>
          <w:b w:val="0"/>
          <w:bCs/>
          <w:sz w:val="32"/>
          <w:szCs w:val="32"/>
          <w:lang w:eastAsia="zh-CN"/>
        </w:rPr>
        <w:t>。</w:t>
      </w:r>
    </w:p>
    <w:p w14:paraId="53CF502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(四)各类隐患有待解决。</w:t>
      </w:r>
      <w:r>
        <w:rPr>
          <w:rFonts w:hint="eastAsia" w:ascii="仿宋_GB2312" w:hAnsi="仿宋_GB2312" w:eastAsia="仿宋_GB2312" w:cs="仿宋_GB2312"/>
          <w:b w:val="0"/>
          <w:bCs/>
          <w:sz w:val="32"/>
          <w:szCs w:val="32"/>
        </w:rPr>
        <w:t>农村地区义务教育学校“撤点并校”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小学、初中阶段低龄学生进入寄宿制学校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虽从一定程度缓解了部分留守儿童家庭教育缺失、教师结构性矛盾等问题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但也给学校安全管理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学生健康成长带来更大压力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有的校园附近时有的流动食品摊贩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中心城区部分学校上学放学时周边交通拥堵等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存在一定安全隐患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有待增添措施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加强监管</w:t>
      </w:r>
      <w:r>
        <w:rPr>
          <w:rFonts w:hint="eastAsia" w:ascii="仿宋_GB2312" w:hAnsi="仿宋_GB2312" w:eastAsia="仿宋_GB2312" w:cs="仿宋_GB2312"/>
          <w:b w:val="0"/>
          <w:bCs/>
          <w:sz w:val="32"/>
          <w:szCs w:val="32"/>
          <w:lang w:eastAsia="zh-CN"/>
        </w:rPr>
        <w:t>。</w:t>
      </w:r>
    </w:p>
    <w:p w14:paraId="360D24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三、意见建议</w:t>
      </w:r>
    </w:p>
    <w:p w14:paraId="3D6E6CD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立足当前和长远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兼顾全局和局部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对进一步抓实基础教育学校布局与建设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提出如下建议</w:t>
      </w:r>
      <w:r>
        <w:rPr>
          <w:rFonts w:hint="eastAsia" w:ascii="仿宋_GB2312" w:hAnsi="仿宋_GB2312" w:eastAsia="仿宋_GB2312" w:cs="仿宋_GB2312"/>
          <w:b w:val="0"/>
          <w:bCs/>
          <w:sz w:val="32"/>
          <w:szCs w:val="32"/>
          <w:lang w:eastAsia="zh-CN"/>
        </w:rPr>
        <w:t>。</w:t>
      </w:r>
    </w:p>
    <w:p w14:paraId="732E3A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(一)强化统筹协调。</w:t>
      </w:r>
      <w:r>
        <w:rPr>
          <w:rFonts w:hint="eastAsia" w:ascii="仿宋_GB2312" w:hAnsi="仿宋_GB2312" w:eastAsia="仿宋_GB2312" w:cs="仿宋_GB2312"/>
          <w:b w:val="0"/>
          <w:bCs/>
          <w:sz w:val="32"/>
          <w:szCs w:val="32"/>
        </w:rPr>
        <w:t>市、县(区)人民政府要进一步强化组织领导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科学制定蓝图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继续以推进城乡教育一体化为重点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督促有关单位根据经济社会发展变化和区域人口变化趋势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合理预测未来学龄人口数量和教育设施需要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科学制定基础教育学校空间布局专项规划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纳入国土空间规划“一张图”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为中小学校(幼儿园)选址、建设提供依据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建立健全与常住人口变化相协调的基本公共教育服务供给机制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及时调整完善幼儿园、中小学招生政策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建立完善集团化办学、学区制管理办法及运行机制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城乡学校帮扶激励、寄宿制学校管理等相关制度机制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促进基础教育学校布局和建设工作有序推进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取得实效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市、县两级相关单位要各司其职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联动协作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因地制宜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分类施策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县(区)解决有困难的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要及时上报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市级有关单位给予必要的指导和支持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涉及顶层设计的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要积极向上汇报反映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切实做好基础教育项目前期工作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争取上级更多的资金、项目支持</w:t>
      </w:r>
      <w:r>
        <w:rPr>
          <w:rFonts w:hint="eastAsia" w:ascii="仿宋_GB2312" w:hAnsi="仿宋_GB2312" w:eastAsia="仿宋_GB2312" w:cs="仿宋_GB2312"/>
          <w:b w:val="0"/>
          <w:bCs/>
          <w:sz w:val="32"/>
          <w:szCs w:val="32"/>
          <w:lang w:eastAsia="zh-CN"/>
        </w:rPr>
        <w:t>。</w:t>
      </w:r>
    </w:p>
    <w:p w14:paraId="1811649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(二)突出要素保障。</w:t>
      </w:r>
      <w:r>
        <w:rPr>
          <w:rFonts w:hint="eastAsia" w:ascii="仿宋_GB2312" w:hAnsi="仿宋_GB2312" w:eastAsia="仿宋_GB2312" w:cs="仿宋_GB2312"/>
          <w:b w:val="0"/>
          <w:bCs/>
          <w:sz w:val="32"/>
          <w:szCs w:val="32"/>
        </w:rPr>
        <w:t>优先保障基础教育项目土地供给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严格落实新建住宅小区配建学校、幼儿园规定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加快全市城镇学校扩容增位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更好解决中心城区、宜宾高新区等区域教育资源供需矛盾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多渠道增加教育经费投入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进一步优化财政支出结构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重点倾斜支持基础教育教学设施补短、教师队伍建设等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市级财政继续采取奖补措施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支持县(区)加快推进基础教育学校项目建设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盘活编制存量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健全完善基础教育人才柔性引进、培养等政策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推进师资配置均衡化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推动教师按需交流轮岗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强化优质带动、优势互补、资源共享</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培育新的优质学校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缩小校际、县(区)间办学质量差距</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推动校际、区域均衡发展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切实加强学校卫生、安全、应急处突等相关设施标准化建设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可通过政府购买服务等方式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保障学校安保、食堂、宿管、医疗卫生保健等方面服务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突出重点区域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细化校园周边交通秩序、学生托管场所、食品小作坊、小经营店及摊贩监管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为学生提供安全有序的社会环境保障</w:t>
      </w:r>
      <w:r>
        <w:rPr>
          <w:rFonts w:hint="eastAsia" w:ascii="仿宋_GB2312" w:hAnsi="仿宋_GB2312" w:eastAsia="仿宋_GB2312" w:cs="仿宋_GB2312"/>
          <w:b w:val="0"/>
          <w:bCs/>
          <w:sz w:val="32"/>
          <w:szCs w:val="32"/>
          <w:lang w:eastAsia="zh-CN"/>
        </w:rPr>
        <w:t>。</w:t>
      </w:r>
    </w:p>
    <w:p w14:paraId="502049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(三)科学实施项目。</w:t>
      </w:r>
      <w:r>
        <w:rPr>
          <w:rFonts w:hint="eastAsia" w:ascii="仿宋_GB2312" w:hAnsi="仿宋_GB2312" w:eastAsia="仿宋_GB2312" w:cs="仿宋_GB2312"/>
          <w:b w:val="0"/>
          <w:bCs/>
          <w:sz w:val="32"/>
          <w:szCs w:val="32"/>
        </w:rPr>
        <w:t>遵循教育公平、绿色发展、均衡布局、规模适当、适度超前、量力而行等原则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按实际服务人口规模配置教育资源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确定近远期建设项目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按计划推进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当前要按实际需要抓紧实施、动态调整近三年基础教育学校建设项目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结合高标准通过义务教育优质均衡发展督导评估、中职学校办学条件达标计划安排、创建县域学前教育普及普惠县(区)等要求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分析研究公办民办学校办学现状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综合利用教育空置资源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分年度、分区域有序推进幼儿园、义务教育学校、普通高中学校、中职学校、特殊教育学校标准化建设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鼓励有条件的幼儿园增设托班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有序稳妥推进寄宿制义务教育学校建设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推动校舍、安全防范、教学仪器装备等达规定标准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同时要避免在财力明显不足的情况下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脱离实际超标准、超规模建设学校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强化建设资金使用跟踪管理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严格落实安全生产、工程质量、生态环境、反腐倡廉等要求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加强项目建设过程监管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确保工程质量安全</w:t>
      </w:r>
      <w:r>
        <w:rPr>
          <w:rFonts w:hint="eastAsia" w:ascii="仿宋_GB2312" w:hAnsi="仿宋_GB2312" w:eastAsia="仿宋_GB2312" w:cs="仿宋_GB2312"/>
          <w:b w:val="0"/>
          <w:bCs/>
          <w:sz w:val="32"/>
          <w:szCs w:val="32"/>
          <w:lang w:eastAsia="zh-CN"/>
        </w:rPr>
        <w:t>。</w:t>
      </w:r>
    </w:p>
    <w:p w14:paraId="6C3EE9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楷体_GB2312" w:hAnsi="楷体_GB2312" w:eastAsia="楷体_GB2312" w:cs="楷体_GB2312"/>
          <w:b w:val="0"/>
          <w:bCs/>
          <w:sz w:val="32"/>
          <w:szCs w:val="32"/>
        </w:rPr>
        <w:t>(四)抓实考核督导。</w:t>
      </w:r>
      <w:r>
        <w:rPr>
          <w:rFonts w:hint="eastAsia" w:ascii="仿宋_GB2312" w:hAnsi="仿宋_GB2312" w:eastAsia="仿宋_GB2312" w:cs="仿宋_GB2312"/>
          <w:b w:val="0"/>
          <w:bCs/>
          <w:sz w:val="32"/>
          <w:szCs w:val="32"/>
        </w:rPr>
        <w:t>依托市、县(区)督导机构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将基础教育学校布局与建设纳入对市直部门、县(区)人民政府履行教育职责的评价、考核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通过综合开展幼儿园办园行为、中职学校办学能力等评估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重点督导学校教育教学、科学研究、资源配置、安全稳定等工作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发现、诊断基础教育学校布局与建设中有关问题并督促整改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注重总结推广基础教育学校布局与建设工作经验做法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推动地方各级政府、有关部门、各级各类学校切实履行教育职责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为党委、政府优化教育相关决策提供参谋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“生育保障”促进人口均衡发展“真金白银”营造生育友好环境</w:t>
      </w:r>
      <w:r>
        <w:rPr>
          <w:rFonts w:hint="eastAsia" w:ascii="仿宋_GB2312" w:hAnsi="仿宋_GB2312" w:eastAsia="仿宋_GB2312" w:cs="仿宋_GB2312"/>
          <w:b w:val="0"/>
          <w:bCs/>
          <w:sz w:val="32"/>
          <w:szCs w:val="32"/>
          <w:lang w:eastAsia="zh-CN"/>
        </w:rPr>
        <w:t>。</w:t>
      </w:r>
    </w:p>
    <w:p w14:paraId="7DA836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B426F0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21CFB4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09FA3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206CB6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6BACD4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A0BA29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16AC80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22CFC7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14BB78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738D9A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681C6E9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关于实施二孩三孩育儿补贴项目的</w:t>
      </w:r>
    </w:p>
    <w:p w14:paraId="5A799DD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rPr>
      </w:pPr>
      <w:r>
        <w:rPr>
          <w:rFonts w:hint="eastAsia" w:ascii="方正小标宋简体" w:hAnsi="方正小标宋简体" w:eastAsia="方正小标宋简体" w:cs="方正小标宋简体"/>
          <w:b w:val="0"/>
          <w:bCs/>
          <w:kern w:val="44"/>
          <w:sz w:val="44"/>
          <w:szCs w:val="44"/>
          <w:lang w:val="en-US" w:eastAsia="zh-CN" w:bidi="ar-SA"/>
        </w:rPr>
        <w:t>调研报告</w:t>
      </w:r>
    </w:p>
    <w:p w14:paraId="738F11A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rPr>
      </w:pPr>
      <w:r>
        <w:rPr>
          <w:rFonts w:hint="eastAsia" w:ascii="方正小标宋简体" w:hAnsi="方正小标宋简体" w:eastAsia="方正小标宋简体" w:cs="方正小标宋简体"/>
          <w:b w:val="0"/>
          <w:bCs/>
          <w:kern w:val="44"/>
          <w:sz w:val="32"/>
          <w:szCs w:val="32"/>
          <w:lang w:val="en-US" w:eastAsia="zh-CN" w:bidi="ar-SA"/>
        </w:rPr>
        <w:t>雅安市人大常委会</w:t>
      </w:r>
    </w:p>
    <w:p w14:paraId="001AB7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6D42E77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党的二十大报告明确指出:“优化人口发展战略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建立生育支持政策体系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降低生育、养育、教育成本</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”2023年5月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二十届中央财经委员会第一次会议就我国人口发展新形势作出重要判断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指出“当前我国人口发展呈现少子化、老龄化、区域人口增减分化的趋势性特征”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强调要“认识、适应、引领人口发展新常态”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与全国全省人口形势相似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从2017年开始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雅安连续6年生育率持续下降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2022年出生人口首次跌破万人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对于总人口数本就很小的雅安来讲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遏止生育率下降迫在眉睫</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雅安市人大常委会主动扛起护航人口均衡发展的责任和担当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将全市二孩三孩育儿补贴纳入2024年民生实事人大代表票决项目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“真金白银”营造生育友好环境</w:t>
      </w:r>
      <w:r>
        <w:rPr>
          <w:rFonts w:hint="eastAsia" w:ascii="仿宋_GB2312" w:hAnsi="仿宋_GB2312" w:eastAsia="仿宋_GB2312" w:cs="仿宋_GB2312"/>
          <w:b w:val="0"/>
          <w:bCs/>
          <w:sz w:val="32"/>
          <w:szCs w:val="32"/>
          <w:lang w:eastAsia="zh-CN"/>
        </w:rPr>
        <w:t>。</w:t>
      </w:r>
    </w:p>
    <w:p w14:paraId="39DDA0D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一、基本情况</w:t>
      </w:r>
    </w:p>
    <w:p w14:paraId="0A6DAE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雅安市常住人口仅142</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9万人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2023年全市出生人口9097人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人口出生率6‰</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低于全国0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4个千分点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低于全省0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3个千分点;全市人口自然增长率为-0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76‰</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高于全国0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72个百分点、高于全省2</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36个百分点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为缓解雅安严峻人口形势、千方百计调动群众生育积极性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雅安市五届人大三次会议将全市二孩三孩育儿补贴纳入2024年民生实事人大代表票决项目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即自2024年1月1日起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对符合政策生育二孩的家庭给予一次性育儿补助1万元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对符合政策生育三孩的家庭一次性育儿补助2万元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截至目前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全市符合条件申报二孩三孩育儿补贴人数942人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其中二孩865人、占比91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8%</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三孩77人、占比8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2%</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共发放育儿补贴1019万元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2024年雅安市1-9月辖区活产数5688人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2023年同期5269人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同比增长419人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增长率7</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95%</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我市出生人口呈小幅度增长态势</w:t>
      </w:r>
      <w:r>
        <w:rPr>
          <w:rFonts w:hint="eastAsia" w:ascii="仿宋_GB2312" w:hAnsi="仿宋_GB2312" w:eastAsia="仿宋_GB2312" w:cs="仿宋_GB2312"/>
          <w:b w:val="0"/>
          <w:bCs/>
          <w:sz w:val="32"/>
          <w:szCs w:val="32"/>
          <w:lang w:eastAsia="zh-CN"/>
        </w:rPr>
        <w:t>。</w:t>
      </w:r>
    </w:p>
    <w:p w14:paraId="7ECBC16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sz w:val="32"/>
          <w:szCs w:val="32"/>
        </w:rPr>
        <w:t>二、主要做法</w:t>
      </w:r>
    </w:p>
    <w:p w14:paraId="22A7C6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(一)聚焦民生实事</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强化人大监督。</w:t>
      </w:r>
      <w:r>
        <w:rPr>
          <w:rFonts w:hint="eastAsia" w:ascii="仿宋_GB2312" w:hAnsi="仿宋_GB2312" w:eastAsia="仿宋_GB2312" w:cs="仿宋_GB2312"/>
          <w:b w:val="0"/>
          <w:bCs/>
          <w:sz w:val="32"/>
          <w:szCs w:val="32"/>
        </w:rPr>
        <w:t>一是健全监督机制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锚定目标不放松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育儿补贴项目票决产生后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市人大常委会印发民生实事人</w:t>
      </w:r>
      <w:r>
        <w:rPr>
          <w:rFonts w:hint="eastAsia" w:ascii="仿宋_GB2312" w:hAnsi="仿宋_GB2312" w:eastAsia="仿宋_GB2312" w:cs="仿宋_GB2312"/>
          <w:b w:val="0"/>
          <w:bCs/>
          <w:sz w:val="32"/>
          <w:szCs w:val="32"/>
          <w:lang w:eastAsia="zh-CN"/>
        </w:rPr>
        <w:t>大代表票决项目监督工作方案，明确监督目标任务、监督机制、重点内容、牵头领导和委室等相关内容，切实凝聚合力。二是落实职责使命，锚定责任不放松。召集该项目牵头部门市卫生健康委召开工作座谈会，提前介入，对民生实事项目提出监督意见，要求市卫生健康委</w:t>
      </w:r>
      <w:r>
        <w:rPr>
          <w:rFonts w:hint="eastAsia" w:ascii="仿宋_GB2312" w:hAnsi="仿宋_GB2312" w:eastAsia="仿宋_GB2312" w:cs="仿宋_GB2312"/>
          <w:b w:val="0"/>
          <w:bCs/>
          <w:sz w:val="32"/>
          <w:szCs w:val="32"/>
        </w:rPr>
        <w:t>制定并报送项目实施方案和计划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三是制定监督计划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锚定节点不放松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市人大常委会牵头监督委室教科文卫工委制定年度监督计划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明确对该项目的监督重点、时间进度和监督方式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共同推进该项民生实事项目的顺利实施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四是强化问效手段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锚定满意率不放松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市人大常委会在本年底召开的市人大常委会会议前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组织常委会组成人员对项目实施情况进行视察;常委会上听取和审议市政府关于该民生实事票决项目实施情况的报告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对项目实施情况进行满意度测评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将测评结果报送市委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并以适当方式向社会公开</w:t>
      </w:r>
      <w:r>
        <w:rPr>
          <w:rFonts w:hint="eastAsia" w:ascii="仿宋_GB2312" w:hAnsi="仿宋_GB2312" w:eastAsia="仿宋_GB2312" w:cs="仿宋_GB2312"/>
          <w:b w:val="0"/>
          <w:bCs/>
          <w:sz w:val="32"/>
          <w:szCs w:val="32"/>
          <w:lang w:eastAsia="zh-CN"/>
        </w:rPr>
        <w:t>。</w:t>
      </w:r>
    </w:p>
    <w:p w14:paraId="637D4A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(二)聚焦项目效力</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政府高位统筹。</w:t>
      </w:r>
      <w:r>
        <w:rPr>
          <w:rFonts w:hint="eastAsia" w:ascii="仿宋_GB2312" w:hAnsi="仿宋_GB2312" w:eastAsia="仿宋_GB2312" w:cs="仿宋_GB2312"/>
          <w:b w:val="0"/>
          <w:bCs/>
          <w:sz w:val="32"/>
          <w:szCs w:val="32"/>
        </w:rPr>
        <w:t>一是政府领导高度重视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市政府将人口发展问题纳入雅安市“十四五”经济社会发展规划重要内容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将人口工作作为市政府重要议事内容;市政府“一把手”亲自部署、推动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主持召开调研课题研讨会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听取关于人口问题的专题汇报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深入各级各类助产机构、民政部门等实地了解相关情况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明确要求在财力之所及的范围内做好民生大事;分管副市长先后召开专题研讨、协调会10余次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二是积极出台支持政策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市政府紧紧围绕降低生育、养育、教育“三大负担”做足文章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雅安市优化生育保障政策促进人口均衡发展十条措施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其中七条“真金白银”措施从育龄群众孕育、生育、教育等多方面给予较为全面、较成体系的保障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预算资金达1个多亿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干货满满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含金量高</w:t>
      </w:r>
      <w:r>
        <w:rPr>
          <w:rFonts w:hint="eastAsia" w:ascii="仿宋_GB2312" w:hAnsi="仿宋_GB2312" w:eastAsia="仿宋_GB2312" w:cs="仿宋_GB2312"/>
          <w:b w:val="0"/>
          <w:bCs/>
          <w:sz w:val="32"/>
          <w:szCs w:val="32"/>
          <w:lang w:eastAsia="zh-CN"/>
        </w:rPr>
        <w:t>。</w:t>
      </w:r>
    </w:p>
    <w:p w14:paraId="04707A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(三)聚焦项目合力</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部门联动推进。</w:t>
      </w:r>
      <w:r>
        <w:rPr>
          <w:rFonts w:hint="eastAsia" w:ascii="仿宋_GB2312" w:hAnsi="仿宋_GB2312" w:eastAsia="仿宋_GB2312" w:cs="仿宋_GB2312"/>
          <w:b w:val="0"/>
          <w:bCs/>
          <w:sz w:val="32"/>
          <w:szCs w:val="32"/>
        </w:rPr>
        <w:t>一是项目牵头单位主动作为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市卫生健康委以“线上收集＋线下考察”方式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学习借鉴全国各地生育激励政策;联合市国调队在全市范围内开展“雅安市城乡居民生育意愿和生育政策建议问卷调查”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引起全市群众的关注和支持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收到6507份调查问卷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远远超3000份基本调查任务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撰写的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雅安市城乡居民生育意愿情况调研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被国办要情采纳;主动协调争取财政部门认可支持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联合印发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雅安市育儿补贴实施方案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为项目实施提供行动指南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今年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市卫生健康委分别在全省人口家庭发展会议、2024年全国生育支持政策体系建设培训班上就我市实施的育儿补贴项目作了经验交流发言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二是市级部门积极配合支持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医保部门主动到省级主管部门汇报争取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实现率先在全省将产前检查纳入医保、率先提高住院分娩标准;财政部门从经费保障给予最大的支持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将补贴发放方式由按季度发放调整为按月发放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并对资金预算、拨付、发放等进行监督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为项目顺利实施保驾护航</w:t>
      </w:r>
      <w:r>
        <w:rPr>
          <w:rFonts w:hint="eastAsia" w:ascii="仿宋_GB2312" w:hAnsi="仿宋_GB2312" w:eastAsia="仿宋_GB2312" w:cs="仿宋_GB2312"/>
          <w:b w:val="0"/>
          <w:bCs/>
          <w:sz w:val="32"/>
          <w:szCs w:val="32"/>
          <w:lang w:eastAsia="zh-CN"/>
        </w:rPr>
        <w:t>。</w:t>
      </w:r>
    </w:p>
    <w:p w14:paraId="129A995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三、存在的问题</w:t>
      </w:r>
    </w:p>
    <w:p w14:paraId="5D8200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人口是国家发展的基础性、全局性、长期性和战略性要素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在育儿补贴项目实施过程中也存在一定的难点和堵点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一是生育支持政策难以发挥立竿见影效果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生育支持政策更多的是发挥政策导向和民生保障作用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而难以在短时期内提振年轻人的生育意愿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二是促进生育政策对过往响应计生群众稳定带来挑战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我市独生子女死亡、伤残人数不断增加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全面二孩、三孩政策实施以来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各地计生群众极不稳定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到省到京上访异常活跃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当前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我市既要抓好生育促进政策落实、促进生育水平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又要全力确保3204名计生特殊家庭稳定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任务非常艰巨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三是财政压力大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育儿补贴额度相对较低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生育吸引力不强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我市作为经济欠发达城市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经济水平较低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地方财力不足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每年能拿出6000万元发放育儿补贴已非常不容易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但对昂贵的养育费用来说吸引力还较弱</w:t>
      </w:r>
      <w:r>
        <w:rPr>
          <w:rFonts w:hint="eastAsia" w:ascii="仿宋_GB2312" w:hAnsi="仿宋_GB2312" w:eastAsia="仿宋_GB2312" w:cs="仿宋_GB2312"/>
          <w:b w:val="0"/>
          <w:bCs/>
          <w:sz w:val="32"/>
          <w:szCs w:val="32"/>
          <w:lang w:eastAsia="zh-CN"/>
        </w:rPr>
        <w:t>。</w:t>
      </w:r>
    </w:p>
    <w:p w14:paraId="529C5A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四、工作建议</w:t>
      </w:r>
    </w:p>
    <w:p w14:paraId="620429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人口问题是“国之大者”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生育问题是民之关切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为进一步增加群众优生优育获得感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营造积极的生育氛围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我市提出以下工作建议:</w:t>
      </w:r>
    </w:p>
    <w:p w14:paraId="1FF1D63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(一)持续用力用功</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狠抓监督刚性。</w:t>
      </w:r>
      <w:r>
        <w:rPr>
          <w:rFonts w:hint="eastAsia" w:ascii="仿宋_GB2312" w:hAnsi="仿宋_GB2312" w:eastAsia="仿宋_GB2312" w:cs="仿宋_GB2312"/>
          <w:b w:val="0"/>
          <w:bCs/>
          <w:sz w:val="32"/>
          <w:szCs w:val="32"/>
        </w:rPr>
        <w:t>坚持问题导向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紧盯项目实施难点和群众关注热点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充分发挥人大监督职能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打好监督“组合拳”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督促市政府实施好育儿补贴项目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确保补贴发放到位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寓支持于监督之中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针对监督发现问题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主动联系、帮助呼吁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尤其是针对县(区)配套资金到位迟缓问题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要扛牢人大责任担当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积极协调政府、牵头部门、县(区)形成工作合力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共同把民生实事工程建设成为群众满意的民心工程</w:t>
      </w:r>
      <w:r>
        <w:rPr>
          <w:rFonts w:hint="eastAsia" w:ascii="仿宋_GB2312" w:hAnsi="仿宋_GB2312" w:eastAsia="仿宋_GB2312" w:cs="仿宋_GB2312"/>
          <w:b w:val="0"/>
          <w:bCs/>
          <w:sz w:val="32"/>
          <w:szCs w:val="32"/>
          <w:lang w:eastAsia="zh-CN"/>
        </w:rPr>
        <w:t>。</w:t>
      </w:r>
    </w:p>
    <w:p w14:paraId="6E8D0A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(二)充分发挥人大代表作用</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增强人大监督合力。</w:t>
      </w:r>
      <w:r>
        <w:rPr>
          <w:rFonts w:hint="eastAsia" w:ascii="仿宋_GB2312" w:hAnsi="仿宋_GB2312" w:eastAsia="仿宋_GB2312" w:cs="仿宋_GB2312"/>
          <w:b w:val="0"/>
          <w:bCs/>
          <w:sz w:val="32"/>
          <w:szCs w:val="32"/>
        </w:rPr>
        <w:t>一是坚持精准履职导向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不断强化“代表走近群众、群众亲近代表”双向互动机制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依托代表“家站”“代表直通车”“码上见代表”等工作平台载体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畅通民意、汇聚民智;鼓励代表下沉一线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聚焦项目实施的堵点、难点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听民声、想对策、强宣传、寻理解、求支持、化矛盾、谋发展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二是强化代表建议办理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尤其是涉及民事实事项目的建议纳入重点督办建议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并对重点建议落实情况开展“回头看”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确保代表建议办理取得实效</w:t>
      </w:r>
      <w:r>
        <w:rPr>
          <w:rFonts w:hint="eastAsia" w:ascii="仿宋_GB2312" w:hAnsi="仿宋_GB2312" w:eastAsia="仿宋_GB2312" w:cs="仿宋_GB2312"/>
          <w:b w:val="0"/>
          <w:bCs/>
          <w:sz w:val="32"/>
          <w:szCs w:val="32"/>
          <w:lang w:eastAsia="zh-CN"/>
        </w:rPr>
        <w:t>。</w:t>
      </w:r>
    </w:p>
    <w:p w14:paraId="6C7F3EA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(三)强化政策引领</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提升生育吸引力。</w:t>
      </w:r>
      <w:r>
        <w:rPr>
          <w:rFonts w:hint="eastAsia" w:ascii="仿宋_GB2312" w:hAnsi="仿宋_GB2312" w:eastAsia="仿宋_GB2312" w:cs="仿宋_GB2312"/>
          <w:b w:val="0"/>
          <w:bCs/>
          <w:sz w:val="32"/>
          <w:szCs w:val="32"/>
        </w:rPr>
        <w:t>一是发挥支持生育的政策导向作用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持续围绕优育、优生、优教三个方面发力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健全完善相关生育配套政策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积极缓解群众生育、养育、教育负担;持续提升妇幼服务管理水平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大力实施妇幼健康提升行动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全面落实母婴安全五项制度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提升家庭医生签约服务能力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为妇女儿童健康提供全方位、全链条的保障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二是督促法规执行效果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推进“依法带娃”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根据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女职工劳动保护特别规定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四川人口与计划生育条例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相关规定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要求用人单位规范完善生育休假制度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积极稳妥完善生育支持政策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依法依规保障妇女儿童的合法权益</w:t>
      </w:r>
      <w:r>
        <w:rPr>
          <w:rFonts w:hint="eastAsia" w:ascii="仿宋_GB2312" w:hAnsi="仿宋_GB2312" w:eastAsia="仿宋_GB2312" w:cs="仿宋_GB2312"/>
          <w:b w:val="0"/>
          <w:bCs/>
          <w:sz w:val="32"/>
          <w:szCs w:val="32"/>
          <w:lang w:eastAsia="zh-CN"/>
        </w:rPr>
        <w:t>。</w:t>
      </w:r>
    </w:p>
    <w:p w14:paraId="065501D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val="en-US" w:eastAsia="zh-CN"/>
        </w:rPr>
      </w:pPr>
      <w:r>
        <w:rPr>
          <w:rFonts w:hint="eastAsia" w:ascii="楷体_GB2312" w:hAnsi="楷体_GB2312" w:eastAsia="楷体_GB2312" w:cs="楷体_GB2312"/>
          <w:b w:val="0"/>
          <w:bCs/>
          <w:sz w:val="32"/>
          <w:szCs w:val="32"/>
        </w:rPr>
        <w:t>(四)持续加大宣传</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营造良好氛围。</w:t>
      </w:r>
      <w:r>
        <w:rPr>
          <w:rFonts w:hint="eastAsia" w:ascii="仿宋_GB2312" w:hAnsi="仿宋_GB2312" w:eastAsia="仿宋_GB2312" w:cs="仿宋_GB2312"/>
          <w:b w:val="0"/>
          <w:bCs/>
          <w:sz w:val="32"/>
          <w:szCs w:val="32"/>
        </w:rPr>
        <w:t>一是督促各级各部门大力宣传党中央国务院、省委省政府关于优化生育政策促进人口长期均衡发展有关政策措施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特别是要解读好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雅安市优化生育保障政策促进人口均衡发展十条措施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确保计生特殊家庭稳定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二是充分发挥基层组织和群团组织优势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采取“线上＋线下”宣传方式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宣传育儿政策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提高社会知晓率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转变群众生育、优育观念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实现“要我生到我要生”的根本性转变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塑造坚定文化自信的“眉山载体”</w:t>
      </w:r>
      <w:r>
        <w:rPr>
          <w:rFonts w:hint="eastAsia" w:ascii="仿宋_GB2312" w:hAnsi="仿宋_GB2312" w:eastAsia="仿宋_GB2312" w:cs="仿宋_GB2312"/>
          <w:b w:val="0"/>
          <w:bCs/>
          <w:sz w:val="32"/>
          <w:szCs w:val="32"/>
          <w:lang w:eastAsia="zh-CN"/>
        </w:rPr>
        <w:t>。</w:t>
      </w:r>
    </w:p>
    <w:p w14:paraId="6991CF3E">
      <w:pPr>
        <w:pStyle w:val="2"/>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b w:val="0"/>
          <w:bCs/>
          <w:sz w:val="32"/>
          <w:szCs w:val="32"/>
        </w:rPr>
      </w:pPr>
      <w:bookmarkStart w:id="3" w:name="_Toc20883"/>
    </w:p>
    <w:p w14:paraId="1A44A7CE">
      <w:pPr>
        <w:pStyle w:val="2"/>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b w:val="0"/>
          <w:bCs/>
          <w:sz w:val="32"/>
          <w:szCs w:val="32"/>
        </w:rPr>
      </w:pPr>
    </w:p>
    <w:p w14:paraId="77BAF63A">
      <w:pPr>
        <w:pStyle w:val="2"/>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仿宋_GB2312" w:hAnsi="仿宋_GB2312" w:eastAsia="仿宋_GB2312" w:cs="仿宋_GB2312"/>
          <w:b w:val="0"/>
          <w:bCs/>
          <w:sz w:val="32"/>
          <w:szCs w:val="32"/>
        </w:rPr>
      </w:pPr>
    </w:p>
    <w:p w14:paraId="7E91EEC2">
      <w:pPr>
        <w:bidi w:val="0"/>
        <w:rPr>
          <w:rFonts w:hint="eastAsia"/>
          <w:b w:val="0"/>
          <w:bCs/>
        </w:rPr>
      </w:pPr>
    </w:p>
    <w:p w14:paraId="2AAC68A9">
      <w:pPr>
        <w:bidi w:val="0"/>
        <w:rPr>
          <w:rFonts w:hint="eastAsia"/>
          <w:b w:val="0"/>
          <w:bCs/>
        </w:rPr>
      </w:pPr>
    </w:p>
    <w:p w14:paraId="71479E2B">
      <w:pPr>
        <w:bidi w:val="0"/>
        <w:rPr>
          <w:rFonts w:hint="eastAsia"/>
          <w:b w:val="0"/>
          <w:bCs/>
        </w:rPr>
      </w:pPr>
    </w:p>
    <w:p w14:paraId="39D5CA21">
      <w:pPr>
        <w:keepNext w:val="0"/>
        <w:keepLines w:val="0"/>
        <w:pageBreakBefore w:val="0"/>
        <w:widowControl w:val="0"/>
        <w:kinsoku/>
        <w:wordWrap/>
        <w:overflowPunct/>
        <w:topLinePunct w:val="0"/>
        <w:autoSpaceDE/>
        <w:autoSpaceDN/>
        <w:bidi w:val="0"/>
        <w:adjustRightInd/>
        <w:snapToGrid/>
        <w:spacing w:line="600" w:lineRule="exact"/>
        <w:ind w:firstLine="880" w:firstLineChars="200"/>
        <w:jc w:val="both"/>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关于加强三苏遗址遗迹保护利用的</w:t>
      </w:r>
    </w:p>
    <w:p w14:paraId="4F1F56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调研报告</w:t>
      </w:r>
    </w:p>
    <w:p w14:paraId="3C0EA76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b w:val="0"/>
          <w:bCs/>
        </w:rPr>
      </w:pPr>
      <w:r>
        <w:rPr>
          <w:rFonts w:hint="eastAsia" w:ascii="方正小标宋简体" w:hAnsi="方正小标宋简体" w:eastAsia="方正小标宋简体" w:cs="方正小标宋简体"/>
          <w:b w:val="0"/>
          <w:bCs/>
          <w:kern w:val="44"/>
          <w:sz w:val="32"/>
          <w:szCs w:val="32"/>
          <w:lang w:val="en-US" w:eastAsia="zh-CN" w:bidi="ar-SA"/>
        </w:rPr>
        <w:t>眉山市人大常委会</w:t>
      </w:r>
      <w:bookmarkEnd w:id="3"/>
    </w:p>
    <w:p w14:paraId="165F88F3">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rPr>
      </w:pPr>
    </w:p>
    <w:p w14:paraId="4A968C5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2022年6月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习近平总书记在眉山三苏祠视察时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给予了三苏文化高度评价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并就坚定文化自信、传承弘扬中华优秀传统文化作出重要指示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为深入贯彻落实习近平总书记重要指示精神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推动三苏遗址遗迹保护利用工作上新台阶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市人大常委会组成调研组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对全市三苏遗址遗迹保护利用工作进行了专题调研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调研组坚持问题导向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深入5个遗址遗迹地和11个三苏文化关联文物遗存处明察暗访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先后走访文化界人大代表、基层文物保护工作者、省内外苏学专家百余人次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5次召开座谈会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广泛收集各方面意见建议数十条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并结合赴省外东坡足迹地取经成果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经反复研究讨论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梳理出全市三苏遗址遗迹保护利用工作存在的不足和问题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形成对策建议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现将有关情况报告如下</w:t>
      </w:r>
      <w:r>
        <w:rPr>
          <w:rFonts w:hint="eastAsia" w:ascii="仿宋_GB2312" w:hAnsi="仿宋_GB2312" w:eastAsia="仿宋_GB2312" w:cs="仿宋_GB2312"/>
          <w:b w:val="0"/>
          <w:bCs/>
          <w:sz w:val="32"/>
          <w:szCs w:val="32"/>
          <w:lang w:eastAsia="zh-CN"/>
        </w:rPr>
        <w:t>。</w:t>
      </w:r>
    </w:p>
    <w:p w14:paraId="2058FA7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sz w:val="32"/>
          <w:szCs w:val="32"/>
        </w:rPr>
        <w:t>一、三苏遗址遗迹基本情况和保护利用工作的主要成效</w:t>
      </w:r>
    </w:p>
    <w:p w14:paraId="07C658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三苏故里眉山是全国三苏文物遗存最集中、最丰富的区域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现存有三苏古籍2000余册、与三苏相关的可移动文物1</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1万余件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三苏遗址遗迹有全国重点文物保护单位三苏祠、中岩寺摩崖造像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省级文物保护单位苏洵家族墓地、连鳌山石刻和重瞳观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另有三苏遗址遗迹关联文物保护单位大旺寺白塔、古眉州城墙等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保护责任重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活化利用潜力大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眉山建地设市以来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市委、市政府一以贯之地高度重视三苏遗址遗迹保护利用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使三苏文化东坡文化成为眉山最靓丽的名片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特别是2022年以来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全市各级政府及相关部门深入贯彻落实习近平总书记来川莅眉视察重要指示精神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围绕“打造东坡文化传承发展中心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建设全球苏学研究高地、优秀传统文化教育基地、知名人文旅游胜地”目标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大力传承弘扬三苏文化东坡文化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促进文旅融合发展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取得显著成效</w:t>
      </w:r>
      <w:r>
        <w:rPr>
          <w:rFonts w:hint="eastAsia" w:ascii="仿宋_GB2312" w:hAnsi="仿宋_GB2312" w:eastAsia="仿宋_GB2312" w:cs="仿宋_GB2312"/>
          <w:b w:val="0"/>
          <w:bCs/>
          <w:sz w:val="32"/>
          <w:szCs w:val="32"/>
          <w:lang w:eastAsia="zh-CN"/>
        </w:rPr>
        <w:t>。</w:t>
      </w:r>
    </w:p>
    <w:p w14:paraId="27B311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(一)强化组织领导</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规划保护有力。</w:t>
      </w:r>
      <w:r>
        <w:rPr>
          <w:rFonts w:hint="eastAsia" w:ascii="仿宋_GB2312" w:hAnsi="仿宋_GB2312" w:eastAsia="仿宋_GB2312" w:cs="仿宋_GB2312"/>
          <w:b w:val="0"/>
          <w:bCs/>
          <w:sz w:val="32"/>
          <w:szCs w:val="32"/>
        </w:rPr>
        <w:t>成立由市长任组长的文物保护工作领导小组对三苏遗址遗迹保护、管理、利用等工作实行统一领导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出台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眉山市三苏遗址遗迹保护条例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眉山市三苏遗址遗迹保护规划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三苏文化保护传承弘扬规划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等法规和区域文物保护规划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作出制度性安排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划定三苏遗址遗迹文物保护单位保护范围和建设控制地带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全面落实文物安全保护责任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建立治安防范常态化工作机制</w:t>
      </w:r>
      <w:r>
        <w:rPr>
          <w:rFonts w:hint="eastAsia" w:ascii="仿宋_GB2312" w:hAnsi="仿宋_GB2312" w:eastAsia="仿宋_GB2312" w:cs="仿宋_GB2312"/>
          <w:b w:val="0"/>
          <w:bCs/>
          <w:sz w:val="32"/>
          <w:szCs w:val="32"/>
          <w:lang w:eastAsia="zh-CN"/>
        </w:rPr>
        <w:t>。</w:t>
      </w:r>
    </w:p>
    <w:p w14:paraId="033CEFC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(二)不断加大投入</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加强保护利用。</w:t>
      </w: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市、县(区)先后投入8600万元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完成三苏祠、重瞳观、中岩寺等文物保护工程项目7个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建成三苏祠博物馆式苏轩展厅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市财政2023--2024年每年预算安排传承弘扬三苏文化东坡文化专项资金1亿元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东坡区先后投入2500万元对连鳌山、重瞳观文物进行修缮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新打造短松冈景区(苏洵家族墓地)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青神县投入1150万元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实施中岩寺摩崖造像保护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市县均挂牌成立文物局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共新设文物保护机构8个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市文研所新增编制10个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引进文博专业人才8人</w:t>
      </w:r>
      <w:r>
        <w:rPr>
          <w:rFonts w:hint="eastAsia" w:ascii="仿宋_GB2312" w:hAnsi="仿宋_GB2312" w:eastAsia="仿宋_GB2312" w:cs="仿宋_GB2312"/>
          <w:b w:val="0"/>
          <w:bCs/>
          <w:sz w:val="32"/>
          <w:szCs w:val="32"/>
          <w:lang w:eastAsia="zh-CN"/>
        </w:rPr>
        <w:t>。</w:t>
      </w:r>
    </w:p>
    <w:p w14:paraId="2D04000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(三)深挖文化内涵</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擦亮三苏名片。</w:t>
      </w:r>
      <w:r>
        <w:rPr>
          <w:rFonts w:hint="eastAsia" w:ascii="仿宋_GB2312" w:hAnsi="仿宋_GB2312" w:eastAsia="仿宋_GB2312" w:cs="仿宋_GB2312"/>
          <w:b w:val="0"/>
          <w:bCs/>
          <w:sz w:val="32"/>
          <w:szCs w:val="32"/>
        </w:rPr>
        <w:t>开展三苏文化东坡文化系统研究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推出110余部学术著作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编辑出版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苏轼书法全集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着力建设全球苏学研究高地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举办东坡文化高峰论坛和苏轼主题文物特展等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扩大学术和文化交流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“苏东坡”成为“2022年四川热词”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依托三苏祠开展廉政文化教育和家风家教教育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常态化推进东坡文化进校园进家庭等“六进”活动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每年开展东坡文化月活动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打造“群众的节日、文化的盛宴”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受到广泛好评</w:t>
      </w:r>
      <w:r>
        <w:rPr>
          <w:rFonts w:hint="eastAsia" w:ascii="仿宋_GB2312" w:hAnsi="仿宋_GB2312" w:eastAsia="仿宋_GB2312" w:cs="仿宋_GB2312"/>
          <w:b w:val="0"/>
          <w:bCs/>
          <w:sz w:val="32"/>
          <w:szCs w:val="32"/>
          <w:lang w:eastAsia="zh-CN"/>
        </w:rPr>
        <w:t>。</w:t>
      </w:r>
    </w:p>
    <w:p w14:paraId="1515B0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(四)推动文旅融合</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发展旅游事业。</w:t>
      </w:r>
      <w:r>
        <w:rPr>
          <w:rFonts w:hint="eastAsia" w:ascii="仿宋_GB2312" w:hAnsi="仿宋_GB2312" w:eastAsia="仿宋_GB2312" w:cs="仿宋_GB2312"/>
          <w:b w:val="0"/>
          <w:bCs/>
          <w:sz w:val="32"/>
          <w:szCs w:val="32"/>
        </w:rPr>
        <w:t>编制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全国三苏文物主题游径眉山示范带规划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三苏故里文化旅游片区策划和规划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推动“东坡行旅—中国文物主题游径”试点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在全国率先完成眉山区域智慧导览建设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打造文旅融合新品牌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东坡区发行专项债券2亿元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助力蟆颐山景区成功创建国家3A旅游景区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青神县建成集三苏文化、家风家教、休闲娱乐为一体的唤鱼公园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三苏祠访客达182</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32万人次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同比增长156%</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文创收入同比增长93%</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三苏祠成功建成国家一级博物馆、入选“全省文旅融合示范项目”</w:t>
      </w:r>
      <w:r>
        <w:rPr>
          <w:rFonts w:hint="eastAsia" w:ascii="仿宋_GB2312" w:hAnsi="仿宋_GB2312" w:eastAsia="仿宋_GB2312" w:cs="仿宋_GB2312"/>
          <w:b w:val="0"/>
          <w:bCs/>
          <w:sz w:val="32"/>
          <w:szCs w:val="32"/>
          <w:lang w:eastAsia="zh-CN"/>
        </w:rPr>
        <w:t>。</w:t>
      </w:r>
    </w:p>
    <w:p w14:paraId="7F386B1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二、存在的主要问题</w:t>
      </w:r>
    </w:p>
    <w:p w14:paraId="1797AC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(一)协调监管机制不健全。</w:t>
      </w:r>
      <w:r>
        <w:rPr>
          <w:rFonts w:hint="eastAsia" w:ascii="仿宋_GB2312" w:hAnsi="仿宋_GB2312" w:eastAsia="仿宋_GB2312" w:cs="仿宋_GB2312"/>
          <w:b w:val="0"/>
          <w:bCs/>
          <w:sz w:val="32"/>
          <w:szCs w:val="32"/>
        </w:rPr>
        <w:t>一是协调联动机制不完善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三苏遗址遗迹保护涉及多个部门和属地乡镇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管理职能交叉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工作合力不足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有的遗址遗迹地的保护工作涉及多个部门和</w:t>
      </w:r>
    </w:p>
    <w:p w14:paraId="1C5BE77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单位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相互之间协调联动较难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二是监督管理不够到位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蟆颐观景区改造部分工程未报经文物部门批准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导致与重瞳观保护范围风貌不协调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以苏洵家族墓地为核心的短松岗景区文化元素体现不够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除三苏祠、中岩寺外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其余三苏遗址遗迹仅是委托看护人管理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缺乏数字化监控手段</w:t>
      </w:r>
      <w:r>
        <w:rPr>
          <w:rFonts w:hint="eastAsia" w:ascii="仿宋_GB2312" w:hAnsi="仿宋_GB2312" w:eastAsia="仿宋_GB2312" w:cs="仿宋_GB2312"/>
          <w:b w:val="0"/>
          <w:bCs/>
          <w:sz w:val="32"/>
          <w:szCs w:val="32"/>
          <w:lang w:eastAsia="zh-CN"/>
        </w:rPr>
        <w:t>。</w:t>
      </w:r>
    </w:p>
    <w:p w14:paraId="0C8C6BF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(二)保护利用经费不足。</w:t>
      </w:r>
      <w:r>
        <w:rPr>
          <w:rFonts w:hint="eastAsia" w:ascii="仿宋_GB2312" w:hAnsi="仿宋_GB2312" w:eastAsia="仿宋_GB2312" w:cs="仿宋_GB2312"/>
          <w:b w:val="0"/>
          <w:bCs/>
          <w:sz w:val="32"/>
          <w:szCs w:val="32"/>
        </w:rPr>
        <w:t>市本级文物保护经费预算2018年以来一直是500万元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没有随着财政收入的增长而增加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三苏祠每年投入的建设维修经费均在2000万元左右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其中大部分资金都靠向上争取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地方财政配套资金远远不够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东坡区的三处遗址遗迹每年日常运行管理经费分别只有1万元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仅够支付委托管理人员的补助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三苏遗址遗迹周边普遍存在文旅业态不佳、公共空间局促、配套设施不足等问题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还需要大量经费投入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三苏故里文化旅游片区策划和规划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中的专精特项目需要4</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2亿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片区拆迁和重大项目实施需要8-10亿</w:t>
      </w:r>
      <w:r>
        <w:rPr>
          <w:rFonts w:hint="eastAsia" w:ascii="仿宋_GB2312" w:hAnsi="仿宋_GB2312" w:eastAsia="仿宋_GB2312" w:cs="仿宋_GB2312"/>
          <w:b w:val="0"/>
          <w:bCs/>
          <w:sz w:val="32"/>
          <w:szCs w:val="32"/>
          <w:lang w:eastAsia="zh-CN"/>
        </w:rPr>
        <w:t>。</w:t>
      </w:r>
    </w:p>
    <w:p w14:paraId="1DAD58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(三)基层文保人才缺乏。</w:t>
      </w:r>
      <w:r>
        <w:rPr>
          <w:rFonts w:hint="eastAsia" w:ascii="仿宋_GB2312" w:hAnsi="仿宋_GB2312" w:eastAsia="仿宋_GB2312" w:cs="仿宋_GB2312"/>
          <w:b w:val="0"/>
          <w:bCs/>
          <w:sz w:val="32"/>
          <w:szCs w:val="32"/>
        </w:rPr>
        <w:t>东坡区的三处遗址遗迹没有设立专门的保护机构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保护管理工作主要由人员少、任务重的区文保所(中心)承担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全市6个区县文保所人员编制平均6</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8个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东坡区文保所编制7人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实际在岗仅有4人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基层文物保护人员队伍力量薄弱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已成为制约三苏遗址遗迹文物保护和利用发展的瓶颈</w:t>
      </w:r>
      <w:r>
        <w:rPr>
          <w:rFonts w:hint="eastAsia" w:ascii="仿宋_GB2312" w:hAnsi="仿宋_GB2312" w:eastAsia="仿宋_GB2312" w:cs="仿宋_GB2312"/>
          <w:b w:val="0"/>
          <w:bCs/>
          <w:sz w:val="32"/>
          <w:szCs w:val="32"/>
          <w:lang w:eastAsia="zh-CN"/>
        </w:rPr>
        <w:t>。</w:t>
      </w:r>
    </w:p>
    <w:p w14:paraId="2A0178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(四)活化利用任重道远。</w:t>
      </w:r>
      <w:r>
        <w:rPr>
          <w:rFonts w:hint="eastAsia" w:ascii="仿宋_GB2312" w:hAnsi="仿宋_GB2312" w:eastAsia="仿宋_GB2312" w:cs="仿宋_GB2312"/>
          <w:b w:val="0"/>
          <w:bCs/>
          <w:sz w:val="32"/>
          <w:szCs w:val="32"/>
        </w:rPr>
        <w:t>总体看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三苏祠“一枝独秀”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却没有发挥对其他遗址遗迹的带动作用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除三苏祠、中岩寺外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其余遗址遗迹缺乏统一规划和打造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内涵挖掘、价值阐释、宣传推广还不充分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缺乏使用5G沉浸式体验、裸眼3D影像等现代高科技展陈能力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没有让文物完全活起来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三苏祠文物展示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仍以图文展陈为主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缺乏足够的吸引力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除三苏祠外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其余景区缺乏必要的文字介绍</w:t>
      </w:r>
      <w:r>
        <w:rPr>
          <w:rFonts w:hint="eastAsia" w:ascii="仿宋_GB2312" w:hAnsi="仿宋_GB2312" w:eastAsia="仿宋_GB2312" w:cs="仿宋_GB2312"/>
          <w:b w:val="0"/>
          <w:bCs/>
          <w:sz w:val="32"/>
          <w:szCs w:val="32"/>
          <w:lang w:eastAsia="zh-CN"/>
        </w:rPr>
        <w:t>。</w:t>
      </w:r>
    </w:p>
    <w:p w14:paraId="7AAE77A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三、对策建议</w:t>
      </w:r>
    </w:p>
    <w:p w14:paraId="3C3E7A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坚持以习近平总书记来川莅眉重要指示精神为指导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坚持“保护第一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传承优先”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不断加大三苏遗址遗迹保护力度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充分挖掘其核心价值、时代意义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大力传承弘扬三苏文化东坡文化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塑造坚定文化自信的“眉山载体”</w:t>
      </w:r>
      <w:r>
        <w:rPr>
          <w:rFonts w:hint="eastAsia" w:ascii="仿宋_GB2312" w:hAnsi="仿宋_GB2312" w:eastAsia="仿宋_GB2312" w:cs="仿宋_GB2312"/>
          <w:b w:val="0"/>
          <w:bCs/>
          <w:sz w:val="32"/>
          <w:szCs w:val="32"/>
          <w:lang w:eastAsia="zh-CN"/>
        </w:rPr>
        <w:t>。</w:t>
      </w:r>
    </w:p>
    <w:p w14:paraId="03582A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(一)强化领导</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夯实责任</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完善机制。</w:t>
      </w:r>
      <w:r>
        <w:rPr>
          <w:rFonts w:hint="eastAsia" w:ascii="仿宋_GB2312" w:hAnsi="仿宋_GB2312" w:eastAsia="仿宋_GB2312" w:cs="仿宋_GB2312"/>
          <w:b w:val="0"/>
          <w:bCs/>
          <w:sz w:val="32"/>
          <w:szCs w:val="32"/>
        </w:rPr>
        <w:t>建立市区一体的保护利用机制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进一步落实属地管理责任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强化文物主管部门监管主体责任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细化落实有关部门的保护管理职责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坚持部门联席会议制度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完善执法联动机制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全面落实文物保护委托管理人责任制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尽快出台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眉山市土地储备考古前置办法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加强法治宣传和舆论监督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形成政府主抓、部门协同、社会参与的文物保护利用格局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借鉴行政区与经济区相分离的经验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推动文物业务管理与辖区行政管理分离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将全市三苏遗址遗迹保护利用业务归口由三苏祠博物馆统一指导</w:t>
      </w:r>
      <w:r>
        <w:rPr>
          <w:rFonts w:hint="eastAsia" w:ascii="仿宋_GB2312" w:hAnsi="仿宋_GB2312" w:eastAsia="仿宋_GB2312" w:cs="仿宋_GB2312"/>
          <w:b w:val="0"/>
          <w:bCs/>
          <w:sz w:val="32"/>
          <w:szCs w:val="32"/>
          <w:lang w:eastAsia="zh-CN"/>
        </w:rPr>
        <w:t>。</w:t>
      </w:r>
    </w:p>
    <w:p w14:paraId="00F02B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(二)统筹规划</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文旅融合</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合理利用。</w:t>
      </w:r>
      <w:r>
        <w:rPr>
          <w:rFonts w:hint="eastAsia" w:ascii="仿宋_GB2312" w:hAnsi="仿宋_GB2312" w:eastAsia="仿宋_GB2312" w:cs="仿宋_GB2312"/>
          <w:b w:val="0"/>
          <w:bCs/>
          <w:sz w:val="32"/>
          <w:szCs w:val="32"/>
        </w:rPr>
        <w:t>一是统筹规划保护和开发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发挥三苏祠的龙头作用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有效串联三苏遗址遗迹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增强集合效应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打造知名人文旅游胜地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二是“动”“静”结合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科学利用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在保护利用好静态文物基础上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充分利用数字科技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推出一批动态、沉浸式陈列展览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增强游客体验感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充分利用中国文化遗产日、东坡文化节等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组织开展高水平学术和文化交流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建设全球苏学研究高地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深入挖掘三苏家风家教内涵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建设优秀传统文化教育基地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鼓励研学机构开展三苏文化教学实践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三是结合乡村振兴项目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打造以东坡文化、竹编文化等为代表的三苏遗址遗迹文旅品牌和文创产品</w:t>
      </w:r>
      <w:r>
        <w:rPr>
          <w:rFonts w:hint="eastAsia" w:ascii="仿宋_GB2312" w:hAnsi="仿宋_GB2312" w:eastAsia="仿宋_GB2312" w:cs="仿宋_GB2312"/>
          <w:b w:val="0"/>
          <w:bCs/>
          <w:sz w:val="32"/>
          <w:szCs w:val="32"/>
          <w:lang w:eastAsia="zh-CN"/>
        </w:rPr>
        <w:t>。</w:t>
      </w:r>
    </w:p>
    <w:p w14:paraId="549D74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(三)突出重点</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严格监督</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强化指导。</w:t>
      </w:r>
      <w:r>
        <w:rPr>
          <w:rFonts w:hint="eastAsia" w:ascii="仿宋_GB2312" w:hAnsi="仿宋_GB2312" w:eastAsia="仿宋_GB2312" w:cs="仿宋_GB2312"/>
          <w:b w:val="0"/>
          <w:bCs/>
          <w:sz w:val="32"/>
          <w:szCs w:val="32"/>
        </w:rPr>
        <w:t>强化对三苏祠周边环境的改造利用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拓展三苏祠博物馆展陈空间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提升展陈水平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加强对短松岗景区规划建设的指导把关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强化对重瞳观文物保护的监督管理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抓紧实施中岩寺摩崖造像抢救性保护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深入挖掘、生动展现苏洵家族墓地、连鳌山石刻的文化内涵和时代价值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讲好苏母勉夫教子、苏洵发愤苦读、苏轼自信自强等故事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加大对苏坟园苏山墓地的保护力度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适时增补三苏遗址遗迹保护名录</w:t>
      </w:r>
      <w:r>
        <w:rPr>
          <w:rFonts w:hint="eastAsia" w:ascii="仿宋_GB2312" w:hAnsi="仿宋_GB2312" w:eastAsia="仿宋_GB2312" w:cs="仿宋_GB2312"/>
          <w:b w:val="0"/>
          <w:bCs/>
          <w:sz w:val="32"/>
          <w:szCs w:val="32"/>
          <w:lang w:eastAsia="zh-CN"/>
        </w:rPr>
        <w:t>。</w:t>
      </w:r>
    </w:p>
    <w:p w14:paraId="1355662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(四)加大投入</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严格执法</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强化保障。</w:t>
      </w:r>
      <w:r>
        <w:rPr>
          <w:rFonts w:hint="eastAsia" w:ascii="仿宋_GB2312" w:hAnsi="仿宋_GB2312" w:eastAsia="仿宋_GB2312" w:cs="仿宋_GB2312"/>
          <w:b w:val="0"/>
          <w:bCs/>
          <w:sz w:val="32"/>
          <w:szCs w:val="32"/>
        </w:rPr>
        <w:t>一是提高经费保障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把三苏遗址遗迹保护经费足额纳入各级财政预算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引导和鼓励社会力量参与保护和利用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二是强化人才保障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加强文物保护专业人才队伍建设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提高文物看护人经济待遇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三是强化安全保障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严格执行相关法律法规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保护文物的历史真实性、风貌完整性、文化延续性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消除安全隐患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坚决打击违法行为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建立三苏遗址遗迹文物安全管理网络平台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为三苏遗址遗迹文物保护信息化发展提供安全、稳定、可靠的保障</w:t>
      </w:r>
      <w:r>
        <w:rPr>
          <w:rFonts w:hint="eastAsia" w:ascii="仿宋_GB2312" w:hAnsi="仿宋_GB2312" w:eastAsia="仿宋_GB2312" w:cs="仿宋_GB2312"/>
          <w:b w:val="0"/>
          <w:bCs/>
          <w:sz w:val="32"/>
          <w:szCs w:val="32"/>
          <w:lang w:eastAsia="zh-CN"/>
        </w:rPr>
        <w:t>。</w:t>
      </w:r>
    </w:p>
    <w:p w14:paraId="6873B3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1403AD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关于广播体系建设与管理使用的调研报告</w:t>
      </w:r>
    </w:p>
    <w:p w14:paraId="136C2A6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32"/>
          <w:szCs w:val="32"/>
          <w:lang w:val="en-US" w:eastAsia="zh-CN" w:bidi="ar-SA"/>
        </w:rPr>
      </w:pPr>
    </w:p>
    <w:p w14:paraId="66964A2F">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rPr>
      </w:pPr>
      <w:r>
        <w:rPr>
          <w:rFonts w:hint="eastAsia" w:ascii="方正小标宋简体" w:hAnsi="方正小标宋简体" w:eastAsia="方正小标宋简体" w:cs="方正小标宋简体"/>
          <w:b w:val="0"/>
          <w:bCs/>
          <w:kern w:val="44"/>
          <w:sz w:val="32"/>
          <w:szCs w:val="32"/>
          <w:lang w:val="en-US" w:eastAsia="zh-CN" w:bidi="ar-SA"/>
        </w:rPr>
        <w:t>阿坝州人大常委会</w:t>
      </w:r>
    </w:p>
    <w:p w14:paraId="144C3A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1FEBAC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广播服务千家万户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是党和政府的重要宣传工具</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是意识形态阵地建设的重要内容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在新一轮信息技术革命推动舆论生态、媒体格局、传播方式发生深刻变化的背景下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积极应对全程媒体、全息媒体、全员媒体、全效媒体带来的压力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建好管好用好广播体系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做大做强主流舆论、把握时度效、管控负面舆情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任务艰巨、责任重大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今年3月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阿坝州人大常委会组成调研组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深入部分县融媒体中心、乡镇、村(社区)开展实地调研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全面掌握了全州广播体系建设管理使用情况、面临的主要困难问题等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赴南充、绵阳、成都等地进行学习考察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形成如下报告</w:t>
      </w:r>
      <w:r>
        <w:rPr>
          <w:rFonts w:hint="eastAsia" w:ascii="仿宋_GB2312" w:hAnsi="仿宋_GB2312" w:eastAsia="仿宋_GB2312" w:cs="仿宋_GB2312"/>
          <w:b w:val="0"/>
          <w:bCs/>
          <w:sz w:val="32"/>
          <w:szCs w:val="32"/>
          <w:lang w:eastAsia="zh-CN"/>
        </w:rPr>
        <w:t>。</w:t>
      </w:r>
    </w:p>
    <w:p w14:paraId="77E3E6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一、总体成效</w:t>
      </w:r>
    </w:p>
    <w:p w14:paraId="391F0E9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阿坝州各县(市)在推进广播体系建设中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坚持以习近平新时代中国特色社会主义思想为统领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积极顺应发展形势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不断扩大城乡广播覆盖面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加快推动媒体深度融合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牢牢把握舆论导向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新闻生产、传播、服务能力不断增强</w:t>
      </w:r>
      <w:r>
        <w:rPr>
          <w:rFonts w:hint="eastAsia" w:ascii="仿宋_GB2312" w:hAnsi="仿宋_GB2312" w:eastAsia="仿宋_GB2312" w:cs="仿宋_GB2312"/>
          <w:b w:val="0"/>
          <w:bCs/>
          <w:sz w:val="32"/>
          <w:szCs w:val="32"/>
          <w:lang w:eastAsia="zh-CN"/>
        </w:rPr>
        <w:t>。</w:t>
      </w:r>
    </w:p>
    <w:p w14:paraId="626D21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(一)加大投入</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构建网络</w:t>
      </w:r>
    </w:p>
    <w:p w14:paraId="5586DF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州县(市)广电部门通过先后实施村村响和应急广播体系项目等建设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不断健全广播体系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2012年以来实施的村村响工程实现了620个行政村全覆盖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2018年起又先后争取资金分三批实施了“深度贫困县应急广播”建设项目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建设调频广播一套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用于播发中央、省州县广播节目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初步形成了联通省、覆盖县(市)、乡(镇)、村的广播体系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加快构建三级广电服务网络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设立便民服务网点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解决广电服务群众的“最后一公里”问题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州广电局每年还通过争取公共文化服务体系建设、应急广播运行维护等项目资金用于全州各县(市)广电体系运维管理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2020年省广电局在我州松潘县召开全省涉藏地区广电工作现场会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总结推广松潘县先进做法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州广电局、松潘县电视台多次在总局、省局会议上作经验交流发言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阿坝州广播体系建设工作得到了国家广电总局、省广电局好评</w:t>
      </w:r>
      <w:r>
        <w:rPr>
          <w:rFonts w:hint="eastAsia" w:ascii="仿宋_GB2312" w:hAnsi="仿宋_GB2312" w:eastAsia="仿宋_GB2312" w:cs="仿宋_GB2312"/>
          <w:b w:val="0"/>
          <w:bCs/>
          <w:sz w:val="32"/>
          <w:szCs w:val="32"/>
          <w:lang w:eastAsia="zh-CN"/>
        </w:rPr>
        <w:t>。</w:t>
      </w:r>
    </w:p>
    <w:p w14:paraId="77F896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(二)完善制度</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规范管理</w:t>
      </w:r>
    </w:p>
    <w:p w14:paraId="5638B88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为确保各级平台和播放终端的有效运行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州广电局结合本州实际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及时制定了村村响、应急广播的管理运维技术规范、操作规程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并切实加强督促指导;按照“辖区管理、分级负责”的原则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进一步明确了县(市)、乡镇、村(社)三级应急广播平台工作职责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成立了广播电视安全播出指挥部或领导小组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县(市)融媒体中心应急广播做到了专人值守、适时播发;大部分乡镇设立了文体广旅综合服务中心和村文化广播室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确定由乡镇文化专干、村两委干部负责管理广播设备;制定了应急广播、村村响管理制度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有的还制作操作流程图、播放台账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基本做到制度上墙、有章可循</w:t>
      </w:r>
      <w:r>
        <w:rPr>
          <w:rFonts w:hint="eastAsia" w:ascii="仿宋_GB2312" w:hAnsi="仿宋_GB2312" w:eastAsia="仿宋_GB2312" w:cs="仿宋_GB2312"/>
          <w:b w:val="0"/>
          <w:bCs/>
          <w:sz w:val="32"/>
          <w:szCs w:val="32"/>
          <w:lang w:eastAsia="zh-CN"/>
        </w:rPr>
        <w:t>。</w:t>
      </w:r>
    </w:p>
    <w:p w14:paraId="55835E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(三)紧扣中心</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凸显功能</w:t>
      </w:r>
    </w:p>
    <w:p w14:paraId="6D3ADA8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一是坚持导向正确、主线突出、贴近群众、及时有效的宣传工作方针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集中力量宣传党的路线方针政策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深入宣传报道习近平新时代中国特色社会主义思想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推动党的创新理论“飞入寻常百姓家”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二是大力做好脱贫攻坚、全面建成小康社会、扫黑除恶、爱国卫生等专项行动主题宣传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通过持续播放法律知识和党的各项惠民政策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传播正能量、提振精气神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营造良好氛围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三是围绕党委、政府的总体部署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将宣传报道同推动各项工作结合起来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特别是在新冠疫情防控中达到了稳定人心、鼓舞士气的效果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广播被干部群众形象地比喻为“党委政府的嘴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基层干部的腿”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四是通过各行各业代表讲好讲活贯彻二十大精神、谱写新篇章的发展故事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讲好讲活中国式现代化场景的实践故事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讲好讲活综合治理和统筹发展的特色故事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讲好讲活先进人物、英雄人民的感人故事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讲好讲活悠久历史、人杰地灵的人文故事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从而产生情感共鸣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不断弘扬社会主旋律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积极营造文明和谐的社会舆论氛围</w:t>
      </w:r>
      <w:r>
        <w:rPr>
          <w:rFonts w:hint="eastAsia" w:ascii="仿宋_GB2312" w:hAnsi="仿宋_GB2312" w:eastAsia="仿宋_GB2312" w:cs="仿宋_GB2312"/>
          <w:b w:val="0"/>
          <w:bCs/>
          <w:sz w:val="32"/>
          <w:szCs w:val="32"/>
          <w:lang w:eastAsia="zh-CN"/>
        </w:rPr>
        <w:t>。</w:t>
      </w:r>
    </w:p>
    <w:p w14:paraId="480932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二、问题不足</w:t>
      </w:r>
    </w:p>
    <w:p w14:paraId="178B4B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阿坝州在广播体系建设方面虽然取得了不俗成绩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但与内地先进地区相比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仍然存在基础条件差、管理运维难、综合利用低、智能化推进慢等差距</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一是重视程度不够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使用效率不高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二是考核机制欠缺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管理力度不够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三是基本保障较差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运行维护不力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四是联动不足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内容质量不高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六是点位设置有限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覆盖范围不广</w:t>
      </w:r>
      <w:r>
        <w:rPr>
          <w:rFonts w:hint="eastAsia" w:ascii="仿宋_GB2312" w:hAnsi="仿宋_GB2312" w:eastAsia="仿宋_GB2312" w:cs="仿宋_GB2312"/>
          <w:b w:val="0"/>
          <w:bCs/>
          <w:sz w:val="32"/>
          <w:szCs w:val="32"/>
          <w:lang w:eastAsia="zh-CN"/>
        </w:rPr>
        <w:t>。</w:t>
      </w:r>
    </w:p>
    <w:p w14:paraId="28F92D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三、工作建议</w:t>
      </w:r>
    </w:p>
    <w:p w14:paraId="195F6D5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下步工作中应提高认识、实化管理、强化保障、优化内容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采取自下而上、示范带动的方式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在有效管理使用现有广播设施设备的基础上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弥补短板弱项、拓展应用场景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紧密结合县域州域实际稳步推进广播体系补点扩面和智慧广电建设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不断提升广播体系服务发展、服务群众的能力</w:t>
      </w:r>
      <w:r>
        <w:rPr>
          <w:rFonts w:hint="eastAsia" w:ascii="仿宋_GB2312" w:hAnsi="仿宋_GB2312" w:eastAsia="仿宋_GB2312" w:cs="仿宋_GB2312"/>
          <w:b w:val="0"/>
          <w:bCs/>
          <w:sz w:val="32"/>
          <w:szCs w:val="32"/>
          <w:lang w:eastAsia="zh-CN"/>
        </w:rPr>
        <w:t>。</w:t>
      </w:r>
    </w:p>
    <w:p w14:paraId="21C0AA5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(一)提升站位</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强化认识</w:t>
      </w:r>
    </w:p>
    <w:p w14:paraId="28F35C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一要从夯实宣传思想阵地的高度理解广播体系的必要性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认真落实意识形态工作责任制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持续强化广播意识形态阵地管理;二要从延续有效传播方式的角度理解广播体系的特殊性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围绕学习宣传习近平新时代中国特色社会主义思想这一首要政治任务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持续深化广播电视媒体“头条”建设和网络视听媒体“首页首屏首条”建设;三要从涉藏地区反分维稳的维度理解广播体系的重要性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把对党忠诚、对人民负责放在最高位置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自觉服从和主动服务经济社会发展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做到因势而谋、应势而动、顺势而为;着力在抓顶层设计、媒体融合、网络整合、生态构建上下功夫</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使党的声音入百姓的耳、党的创新理论入百姓的脑、党的为民情怀入百姓的心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进一步增强说服力感染力</w:t>
      </w:r>
      <w:r>
        <w:rPr>
          <w:rFonts w:hint="eastAsia" w:ascii="仿宋_GB2312" w:hAnsi="仿宋_GB2312" w:eastAsia="仿宋_GB2312" w:cs="仿宋_GB2312"/>
          <w:b w:val="0"/>
          <w:bCs/>
          <w:sz w:val="32"/>
          <w:szCs w:val="32"/>
          <w:lang w:eastAsia="zh-CN"/>
        </w:rPr>
        <w:t>。</w:t>
      </w:r>
    </w:p>
    <w:p w14:paraId="4C88F5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(二)健全机制</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逗硬考核</w:t>
      </w:r>
    </w:p>
    <w:p w14:paraId="1DB65D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一要落实职责任务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将建好管好用好广播体系的责任落实到广播电视部门、乡镇政府及其“文体广旅综合服务中心”、村支部村委会及其广播室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建立健全工作台账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定期检查、定期通报工作情况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二要建立考核机制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将县(市)级平台管</w:t>
      </w:r>
    </w:p>
    <w:p w14:paraId="527E1C1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理、乡镇村前端管理等纳入年度目标考核或意识形态工作考核、公共文化服务绩效考核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实现奖勤罚懒、奖优罚劣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提高广播体系管理使用实效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三要确保平安播出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不断创新理念思路、工作内容、方式手段、体制机制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深入实施“安全播出”工程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强化责任担当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创新监测手段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强化安全播出、网络安全、设施保护一体化运行管理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着力提高网络视听节目监管能力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着力消除网络视听内容管理死角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努力实现“全方位、全过程、全覆盖、全天候”的现代监测监管要求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不断提高安全保障能力</w:t>
      </w:r>
      <w:r>
        <w:rPr>
          <w:rFonts w:hint="eastAsia" w:ascii="仿宋_GB2312" w:hAnsi="仿宋_GB2312" w:eastAsia="仿宋_GB2312" w:cs="仿宋_GB2312"/>
          <w:b w:val="0"/>
          <w:bCs/>
          <w:sz w:val="32"/>
          <w:szCs w:val="32"/>
          <w:lang w:eastAsia="zh-CN"/>
        </w:rPr>
        <w:t>。</w:t>
      </w:r>
    </w:p>
    <w:p w14:paraId="794CAA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(三)配强队伍</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落实保障</w:t>
      </w:r>
    </w:p>
    <w:p w14:paraId="380998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一要进一步配齐管理人员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落实县(市)级专职人员、乡镇文化广电专干、村(社)广播管理人员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确保广播设施设备有人管、有人用、有人护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二要进一步保障管理运维经费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及时拨付、有效使用广播电视专项经费、中央公共文化服务资金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防止资金截留、迟滞、滥用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切实保障县(市)应急广播平台、乡镇村终端和村村响的运维经费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保证其长期通、优质通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三要进一步强化技术支撑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加强对从事广播体系管理使用人员的业务培训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确保平时规范使用和出现故障时能尽快排除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及时借鉴好的运维方法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增加技术含量、提高运维水平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让广播体系管理使用更加便捷高效</w:t>
      </w:r>
      <w:r>
        <w:rPr>
          <w:rFonts w:hint="eastAsia" w:ascii="仿宋_GB2312" w:hAnsi="仿宋_GB2312" w:eastAsia="仿宋_GB2312" w:cs="仿宋_GB2312"/>
          <w:b w:val="0"/>
          <w:bCs/>
          <w:sz w:val="32"/>
          <w:szCs w:val="32"/>
          <w:lang w:eastAsia="zh-CN"/>
        </w:rPr>
        <w:t>。</w:t>
      </w:r>
    </w:p>
    <w:p w14:paraId="01E4E6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(四)聚焦重点</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提质增效</w:t>
      </w:r>
    </w:p>
    <w:p w14:paraId="781E382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一要将广播体系作为“智慧广电”“数字乡村”等智慧化、数字化建设的重要内容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顺应广电行业发展趋势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积极储备、申报建设项目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优化点位布局、拓展覆盖范围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建立以视听业务为主体的高质量、全媒体综合信息服务体系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形成面向用户、互动体验、多元智能、内容丰富的智慧广电新业态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推进广播电视高质量创新性发展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二要建立宣传、广电、应急等部门及各乡镇、村(社)的协调联动机制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形成齐抓共管的工作格局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加快推进“智慧广播＋”建设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优化和叠加广播应用领域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使其更好地服务于政策宣传、维护稳定、基层治理、防灾减灾和产业发展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真正成为党政宣传的扬声器、经济建设的加速器和社会稳定的助推器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三要坚持“内容为王”的媒体宣传理念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重点抓好本土化内容的生产发布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深耕信息内容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把宣传舆论的视点对准广大人民群众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多用群众鲜活的语言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多创造群众喜闻乐见的内容和形式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多反映群众的生活场景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在服务群众中最大限度地满足群众的信息需求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让听众喜闻乐见、愿听爱听</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四要充分运用广播电视和网络视听媒体、应急广播等平台载体和手段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结合我州特点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组织广播电视媒体“找准选题、讲好故事、拍出精品”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打造反映我州经济高质量发展、民族团结、边疆稳定、生态文明等题材的原创短视频、网络剧、公益广告等网络视听优秀节目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为阿坝建设民族地区高质量发展示范区、民族团结进步示范区凝心聚力</w:t>
      </w:r>
      <w:r>
        <w:rPr>
          <w:rFonts w:hint="eastAsia" w:ascii="仿宋_GB2312" w:hAnsi="仿宋_GB2312" w:eastAsia="仿宋_GB2312" w:cs="仿宋_GB2312"/>
          <w:b w:val="0"/>
          <w:bCs/>
          <w:sz w:val="32"/>
          <w:szCs w:val="32"/>
          <w:lang w:eastAsia="zh-CN"/>
        </w:rPr>
        <w:t>。</w:t>
      </w:r>
    </w:p>
    <w:p w14:paraId="110E00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692B2D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7B5B10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643EC91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关于县域医疗卫生次中心建设的调研报告</w:t>
      </w:r>
    </w:p>
    <w:p w14:paraId="3926B7F7">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32"/>
          <w:szCs w:val="32"/>
          <w:lang w:val="en-US" w:eastAsia="zh-CN" w:bidi="ar-SA"/>
        </w:rPr>
        <w:t>自贡市荣县人大常委会</w:t>
      </w:r>
    </w:p>
    <w:p w14:paraId="30CC10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p>
    <w:p w14:paraId="2CAA70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sz w:val="32"/>
          <w:szCs w:val="32"/>
        </w:rPr>
        <w:t>一、基本情况</w:t>
      </w:r>
    </w:p>
    <w:p w14:paraId="77258D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荣县高度重视县域医疗卫生次中心建设工作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荣县加快片区医共体促进医疗卫生次中心建设工作实施意见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计划到2025年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组建完成5个中心卫生院牵头的农村片区医共体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建设5个中心卫生院县域医疗卫生次中心</w:t>
      </w:r>
      <w:r>
        <w:rPr>
          <w:rFonts w:hint="eastAsia" w:ascii="仿宋_GB2312" w:hAnsi="仿宋_GB2312" w:eastAsia="仿宋_GB2312" w:cs="仿宋_GB2312"/>
          <w:b w:val="0"/>
          <w:bCs/>
          <w:sz w:val="32"/>
          <w:szCs w:val="32"/>
          <w:lang w:eastAsia="zh-CN"/>
        </w:rPr>
        <w:t>。</w:t>
      </w:r>
    </w:p>
    <w:p w14:paraId="768CB0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(一)统筹谋划</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精准投入</w:t>
      </w:r>
    </w:p>
    <w:p w14:paraId="06C6430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一是系统谋划调度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县卫生健康局全面布局创建工作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制定责任分工表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明确责任领导、股室(单位)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建立每月调度、现场督导制度机制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确保各项任务高效推进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二是加大资金投入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2023-2024年县政府投入专项资金1514万元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用于购买CT、彩超、DR、多参数监护仪、麻醉机、胃肠镜、呼吸机、麻醉机、除颤仪、腹腔镜、LEEP刀等医疗设备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全力保障建设工作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三是工作有序推进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目前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长山镇、新桥镇2个中心卫生院基础设施设备基本达到二级综合医院水平建设标准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双石镇中心卫生院县域医疗卫生次中心各项工作有序推进</w:t>
      </w:r>
      <w:r>
        <w:rPr>
          <w:rFonts w:hint="eastAsia" w:ascii="仿宋_GB2312" w:hAnsi="仿宋_GB2312" w:eastAsia="仿宋_GB2312" w:cs="仿宋_GB2312"/>
          <w:b w:val="0"/>
          <w:bCs/>
          <w:sz w:val="32"/>
          <w:szCs w:val="32"/>
          <w:lang w:eastAsia="zh-CN"/>
        </w:rPr>
        <w:t>。</w:t>
      </w:r>
    </w:p>
    <w:p w14:paraId="0B6639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(二)强化举措</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注重实效</w:t>
      </w:r>
    </w:p>
    <w:p w14:paraId="5854F03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一是体制上推行“三共”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以共用一块牌子、共建一套班子、共享片区资源为重点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整合组建片区医共体党组织、行政领导班子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实行党组织领导下的院长负责制和任期目标责任制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二是功能上推行“三强化”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以强化分级诊疗、强化签约服务、强化公共卫生为重点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建立完善片区医共体双向转诊绿色通道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建立“家庭医生服务团队”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做到中心卫生院诊疗“专业性”、分院防控“统筹性”、村卫生室服务“可及性”的有效结合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三是运行上实行“六统一”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分片区建立统筹科室(中心)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全面实行卫生院人员、财务、物资、信息、医保、绩效统一管理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片区医共体全面实施绩效工资改革试点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职工可发放绩效工资上升14</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42%</w:t>
      </w:r>
      <w:r>
        <w:rPr>
          <w:rFonts w:hint="eastAsia" w:ascii="仿宋_GB2312" w:hAnsi="仿宋_GB2312" w:eastAsia="仿宋_GB2312" w:cs="仿宋_GB2312"/>
          <w:b w:val="0"/>
          <w:bCs/>
          <w:sz w:val="32"/>
          <w:szCs w:val="32"/>
          <w:lang w:eastAsia="zh-CN"/>
        </w:rPr>
        <w:t>。</w:t>
      </w:r>
    </w:p>
    <w:p w14:paraId="2B7802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(三)落实保障</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提升能力</w:t>
      </w:r>
    </w:p>
    <w:p w14:paraId="03003D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一是高效利用人力资源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分别核定片区事业编制、领导职数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实行统一招聘、培训、调配和管理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精准配置力量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中心卫生院与县级医疗机构签订专科联盟协议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完成长山呼吸内科、新桥中医科两个基层特色专科建设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识别和初步诊治常见病提高到100种以上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收治住院病种数80种以上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开展手术病种数20种以上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二是科学设置职能机构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长山镇、新桥镇中心卫生院本部设置9大职能科室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分院设置5大职能科室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形成上下联动的工作格局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成立公共卫生服务中心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负责片区预防、保健、医疗、康复等全程健康管理公共卫生工作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推动“以疾病治疗为中心”向“以健康管理为中心”转变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三是不断提高医疗服务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完善增设内儿科、外科、妇产科、骨伤科、急诊急救科、中医科、康复科、公共卫生科、口腔科等临床科室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实行院、科两级质量管理体系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完善监督考核制度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门诊人次、住院人次、业务收入同比增长13</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24%、36</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01%、13</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64%</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四是拓展服务范围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率先在全市组建“长山乡村医养服务中心”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推行“两院一体”管理模式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对“全护理、半护理、全自理”老人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实行“红黄绿”三色管理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提供全天候服务＋“心电一张网”“7×24小时”远程诊疗服务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开展康复理疗、健康体检、心理疏导、慢病日常健康监测等2000余人次</w:t>
      </w:r>
      <w:r>
        <w:rPr>
          <w:rFonts w:hint="eastAsia" w:ascii="仿宋_GB2312" w:hAnsi="仿宋_GB2312" w:eastAsia="仿宋_GB2312" w:cs="仿宋_GB2312"/>
          <w:b w:val="0"/>
          <w:bCs/>
          <w:sz w:val="32"/>
          <w:szCs w:val="32"/>
          <w:lang w:eastAsia="zh-CN"/>
        </w:rPr>
        <w:t>。</w:t>
      </w:r>
    </w:p>
    <w:p w14:paraId="202CEA6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(四)优中创优</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再上台阶</w:t>
      </w:r>
    </w:p>
    <w:p w14:paraId="13D2742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一是提升便民服务能力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长山镇中心卫生院坚持把党建引领贯穿始终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聆听群众呼声、抓准患者需求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在住院楼安装医用外挂电梯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解决老人及行动不便者上下楼难题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二是填补新技术空白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在县人民医院的技术支持下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长山镇中心卫生院在全县乡镇成功实施首例腹腔镜下胆囊切除微创手术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让群众享受“家门口低收费标准、市县医院专家看病”的便利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三是筑牢农村医疗卫生服务基础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长山镇医疗卫生次中心率先试点成立中心村卫生室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搭建“1+1+3+N”的服务团队(1名院领导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1名职能科室负责人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1名医师、1名护士、1名公卫人员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N个村卫生室)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实行“八统一”管理模式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负责村卫生室日常管理工作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打通群众就医“最后一公里”</w:t>
      </w:r>
      <w:r>
        <w:rPr>
          <w:rFonts w:hint="eastAsia" w:ascii="仿宋_GB2312" w:hAnsi="仿宋_GB2312" w:eastAsia="仿宋_GB2312" w:cs="仿宋_GB2312"/>
          <w:b w:val="0"/>
          <w:bCs/>
          <w:sz w:val="32"/>
          <w:szCs w:val="32"/>
          <w:lang w:eastAsia="zh-CN"/>
        </w:rPr>
        <w:t>。</w:t>
      </w:r>
    </w:p>
    <w:p w14:paraId="6D25F97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二、存在的问题和困难</w:t>
      </w:r>
    </w:p>
    <w:p w14:paraId="5D5021B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(一)保障能力还有差距</w:t>
      </w:r>
    </w:p>
    <w:p w14:paraId="0B9308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一是基础设施不完善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医疗卫生次中心建设主要在乡镇卫生院基础上升级改造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受位置、地形、面积等条件限制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存在单体规模小、房屋老旧、医院分区布局不合理、医疗卫生环境差等问题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二是医疗设备落后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我县多数乡镇卫生院虽然设置了内科、外科、中医科等基本医疗科室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但大多没有CR、CT、TCD等检查设备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原有设备陈旧、损坏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只能满足基本医疗服务功能;村卫生室只有听诊器、体温计、血压计等基本诊疗设备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老年常见的心脑血管等急重症患者来了“不敢接”“接不住”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三是人才招留两难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乡镇基层医疗卫生机构受地理区位、工作环境、工资待遇、发展前景等影响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人才队伍不稳定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引不进、留不住高学历、高职称人才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人才招聘从省到县一级级“截流”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骨干医生一层层向上“虹吸”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临床医生、护士等专业人才严重不足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四是协同联动不足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医疗卫生次中心建设过程中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相关职能部门协同联动不足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在应急处置、设备设施、人员经费保障等方面指导作用不明显</w:t>
      </w:r>
      <w:r>
        <w:rPr>
          <w:rFonts w:hint="eastAsia" w:ascii="仿宋_GB2312" w:hAnsi="仿宋_GB2312" w:eastAsia="仿宋_GB2312" w:cs="仿宋_GB2312"/>
          <w:b w:val="0"/>
          <w:bCs/>
          <w:sz w:val="32"/>
          <w:szCs w:val="32"/>
          <w:lang w:eastAsia="zh-CN"/>
        </w:rPr>
        <w:t>。</w:t>
      </w:r>
    </w:p>
    <w:p w14:paraId="0C13D72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(二)基层医疗卫生机构发展受制约</w:t>
      </w:r>
    </w:p>
    <w:p w14:paraId="0580735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一是诊疗水平有限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乡镇卫生院、村卫生室高层次、高学历、高职称人员匮乏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基层医疗卫生机构医护人员整体诊疗水平较低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对急难诊病人难以提供及时有效治疗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专业护理人员少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病人护理多交由家属自行看顾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缺乏基本的护理知识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二是辐射带动能力弱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卫生院人员和技术力量不足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专业技术人员742人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只占全县的34</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18%</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乡镇中级及以上专业技术人员占全县的43</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94%</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难以承担片区卫生技术人员、乡村医生培训和技术指导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不能很好地发挥服务辐射及带动作用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三是信息化建设滞后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片区基层医疗卫生机构数据难以整合收录进中心卫生院系统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共享利用效果不明显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医生难以及时准确获取病人既往就医用药情况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无法指导片区医疗卫生机构诊疗护理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四是发展水平有差距</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受地域限制、城镇化建设和镇村建制调整等因素影响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乡镇之间、村村之间卫生机构设置、设备配置、人员素质等方面存在差距</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仅40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50%的乡村医生取得执业(助理)医师资格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中心城镇卫生院普遍好于山区卫生院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地处乡镇中心位置和人口多的村卫生室收入状况较好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村医收入最高每月2998元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最低仅1908元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10</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8%的村医月收入不足2000元</w:t>
      </w:r>
      <w:r>
        <w:rPr>
          <w:rFonts w:hint="eastAsia" w:ascii="仿宋_GB2312" w:hAnsi="仿宋_GB2312" w:eastAsia="仿宋_GB2312" w:cs="仿宋_GB2312"/>
          <w:b w:val="0"/>
          <w:bCs/>
          <w:sz w:val="32"/>
          <w:szCs w:val="32"/>
          <w:lang w:eastAsia="zh-CN"/>
        </w:rPr>
        <w:t>。</w:t>
      </w:r>
    </w:p>
    <w:p w14:paraId="0FDE51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三、工作建议</w:t>
      </w:r>
    </w:p>
    <w:p w14:paraId="6568C5F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(一)优化管理体制</w:t>
      </w:r>
    </w:p>
    <w:p w14:paraId="380406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一是明确功能定位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按照“精干力量向中心集中、服务力量向分院下沉”模式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以二级综合医院标准建设县域医疗卫生次中心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向上分担牵头医院部分职能任务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向下带动一般卫生院发展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二是夯实主体责任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着力整合资源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打造成片区医疗救治、急诊急救、人才培训、技术指导、公共卫生示范等中心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提升基层医疗卫生机构服务能力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三是完善运行机制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建立健全内部运行和部门协同推进、机构分工协作、医疗资源共享、利益风险共担等制度机制</w:t>
      </w:r>
      <w:r>
        <w:rPr>
          <w:rFonts w:hint="eastAsia" w:ascii="仿宋_GB2312" w:hAnsi="仿宋_GB2312" w:eastAsia="仿宋_GB2312" w:cs="仿宋_GB2312"/>
          <w:b w:val="0"/>
          <w:bCs/>
          <w:sz w:val="32"/>
          <w:szCs w:val="32"/>
          <w:lang w:eastAsia="zh-CN"/>
        </w:rPr>
        <w:t>。</w:t>
      </w:r>
    </w:p>
    <w:p w14:paraId="64B015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(二)强化资源配置</w:t>
      </w:r>
    </w:p>
    <w:p w14:paraId="3DA91D1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一是完善设施设备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根据县域卫生规划和牵头医院资源下沉情况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积极推进手术室、放射科、基层常设科室和中医馆医疗设施设备配置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合理配置大型医用设备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实现医用设备资源共享和集中使用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二是健全科室设置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设置完备行政、临床、医技三类科室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结合发展实际设置特色科室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实现高水平医护人员向中心卫生院集中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三是推进信息化建设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将医保、基本公共卫生和线上诊疗等有效衔接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利用“互联网＋医疗”“互联网＋健康”服务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优化诊疗疗程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推动整体水平和能力提升</w:t>
      </w:r>
      <w:r>
        <w:rPr>
          <w:rFonts w:hint="eastAsia" w:ascii="仿宋_GB2312" w:hAnsi="仿宋_GB2312" w:eastAsia="仿宋_GB2312" w:cs="仿宋_GB2312"/>
          <w:b w:val="0"/>
          <w:bCs/>
          <w:sz w:val="32"/>
          <w:szCs w:val="32"/>
          <w:lang w:eastAsia="zh-CN"/>
        </w:rPr>
        <w:t>。</w:t>
      </w:r>
    </w:p>
    <w:p w14:paraId="1A598C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(三)提升能力建设</w:t>
      </w:r>
    </w:p>
    <w:p w14:paraId="427F3D5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一是开展科室联建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鼓励与牵头医院共建影像、病理诊断、消毒供应等科室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创新“基层检查、上级诊断、区域互认”模式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为基层上转病人建立快速就医“绿色通道”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二是提升首诊能力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通过基层卫生人才培训、专家下沉“传帮带”、建设特色专科等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提升病种识别和初步诊治水平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三是强化队伍建设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探索“县招乡用”模式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通过牵头医院人员定期派驻、人员招聘、统筹编制使用等途径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推动专业技术人员向基层流动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壮大人才队伍</w:t>
      </w:r>
      <w:r>
        <w:rPr>
          <w:rFonts w:hint="eastAsia" w:ascii="仿宋_GB2312" w:hAnsi="仿宋_GB2312" w:eastAsia="仿宋_GB2312" w:cs="仿宋_GB2312"/>
          <w:b w:val="0"/>
          <w:bCs/>
          <w:sz w:val="32"/>
          <w:szCs w:val="32"/>
          <w:lang w:eastAsia="zh-CN"/>
        </w:rPr>
        <w:t>。</w:t>
      </w:r>
    </w:p>
    <w:p w14:paraId="7CD5CFF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6C678B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44186E9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1BBB59D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7E7006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0D20CD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2C5DCC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D0ADBC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关于加强非遗文化保护传承利用促进文旅融合发展的调研报告</w:t>
      </w:r>
    </w:p>
    <w:p w14:paraId="6D47F80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_GB2312" w:hAnsi="仿宋_GB2312" w:eastAsia="仿宋_GB2312" w:cs="仿宋_GB2312"/>
          <w:b w:val="0"/>
          <w:bCs/>
          <w:sz w:val="32"/>
          <w:szCs w:val="32"/>
        </w:rPr>
      </w:pPr>
      <w:r>
        <w:rPr>
          <w:rFonts w:hint="eastAsia" w:ascii="方正小标宋简体" w:hAnsi="方正小标宋简体" w:eastAsia="方正小标宋简体" w:cs="方正小标宋简体"/>
          <w:b w:val="0"/>
          <w:bCs/>
          <w:kern w:val="44"/>
          <w:sz w:val="32"/>
          <w:szCs w:val="32"/>
          <w:lang w:val="en-US" w:eastAsia="zh-CN" w:bidi="ar-SA"/>
        </w:rPr>
        <w:t>广元市利州区人大常委会</w:t>
      </w:r>
    </w:p>
    <w:p w14:paraId="102C74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71A977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5月中旬</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利州区人大常委组成调研组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深入部分乡镇和文旅产业项目区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通过实地察看、听取汇报、集中座谈等方式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就“加强非遗文化保护传承利用促进文旅融合发展”课题进行了调研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现将有关情况报告如下:</w:t>
      </w:r>
    </w:p>
    <w:p w14:paraId="5C4209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sz w:val="32"/>
          <w:szCs w:val="32"/>
        </w:rPr>
        <w:t>一、基本情况</w:t>
      </w:r>
    </w:p>
    <w:p w14:paraId="49EFBB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利州区地处四川盆地北部边缘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嘉陵江上游</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川陕甘三省交汇处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是中国历史上唯一女皇帝武则天诞生地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素有“川北门户”“女皇故里”之称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全区辖3乡4镇7街道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幅员面积1538</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53平方公里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总人口64</w:t>
      </w:r>
      <w:r>
        <w:rPr>
          <w:rFonts w:hint="eastAsia" w:ascii="仿宋_GB2312" w:hAnsi="仿宋_GB2312" w:eastAsia="仿宋_GB2312" w:cs="仿宋_GB2312"/>
          <w:b w:val="0"/>
          <w:bCs/>
          <w:sz w:val="32"/>
          <w:szCs w:val="32"/>
          <w:lang w:val="en-US" w:eastAsia="zh-CN"/>
        </w:rPr>
        <w:t>.</w:t>
      </w:r>
      <w:r>
        <w:rPr>
          <w:rFonts w:hint="eastAsia" w:ascii="仿宋_GB2312" w:hAnsi="仿宋_GB2312" w:eastAsia="仿宋_GB2312" w:cs="仿宋_GB2312"/>
          <w:b w:val="0"/>
          <w:bCs/>
          <w:sz w:val="32"/>
          <w:szCs w:val="32"/>
        </w:rPr>
        <w:t>13万人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利州区以建设“大蜀道国际文化旅游目的地”为引领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加大非物质文化遗产(以下简称“非遗”)保护和传承利用力度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通过第四次非遗文化普查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共收录非遗文化资源项目31个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涵盖民间曲艺、民间美术、传统工艺、传统医药、民俗、非遗文创等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并全部申报为各级保护名录</w:t>
      </w:r>
      <w:r>
        <w:rPr>
          <w:rFonts w:hint="eastAsia" w:ascii="仿宋_GB2312" w:hAnsi="仿宋_GB2312" w:eastAsia="仿宋_GB2312" w:cs="仿宋_GB2312"/>
          <w:b w:val="0"/>
          <w:bCs/>
          <w:sz w:val="32"/>
          <w:szCs w:val="32"/>
          <w:lang w:eastAsia="zh-CN"/>
        </w:rPr>
        <w:t>。</w:t>
      </w:r>
    </w:p>
    <w:p w14:paraId="0243252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二、主要做法及成效</w:t>
      </w:r>
    </w:p>
    <w:p w14:paraId="781E75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b w:val="0"/>
          <w:bCs/>
          <w:sz w:val="32"/>
          <w:szCs w:val="32"/>
        </w:rPr>
        <w:t>(一)立档建库推进保护。</w:t>
      </w:r>
      <w:r>
        <w:rPr>
          <w:rFonts w:hint="eastAsia" w:ascii="仿宋_GB2312" w:hAnsi="仿宋_GB2312" w:eastAsia="仿宋_GB2312" w:cs="仿宋_GB2312"/>
          <w:b w:val="0"/>
          <w:bCs/>
          <w:sz w:val="32"/>
          <w:szCs w:val="32"/>
        </w:rPr>
        <w:t>一是普查全面、管理有序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w:t>
      </w:r>
    </w:p>
    <w:p w14:paraId="261501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域开展非遗普查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基本摸清全区非遗文化资源状况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建立了资源台账、“四有”基础档案和电子数据名录库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实行动态管理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二是积极申报非遗项目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申报各级非遗项目31个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其中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国家级1个、省级2个、市级13个、区级15个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三是切实开展初步保护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自筹资金建立研习所、工坊、基地等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进行基础性保护</w:t>
      </w:r>
      <w:r>
        <w:rPr>
          <w:rFonts w:hint="eastAsia" w:ascii="仿宋_GB2312" w:hAnsi="仿宋_GB2312" w:eastAsia="仿宋_GB2312" w:cs="仿宋_GB2312"/>
          <w:b w:val="0"/>
          <w:bCs/>
          <w:sz w:val="32"/>
          <w:szCs w:val="32"/>
          <w:lang w:eastAsia="zh-CN"/>
        </w:rPr>
        <w:t>。</w:t>
      </w:r>
    </w:p>
    <w:p w14:paraId="52A0B3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(二)文化传承取得突破。</w:t>
      </w:r>
      <w:r>
        <w:rPr>
          <w:rFonts w:hint="eastAsia" w:ascii="仿宋_GB2312" w:hAnsi="仿宋_GB2312" w:eastAsia="仿宋_GB2312" w:cs="仿宋_GB2312"/>
          <w:b w:val="0"/>
          <w:bCs/>
          <w:sz w:val="32"/>
          <w:szCs w:val="32"/>
        </w:rPr>
        <w:t>一是传承队伍持续壮大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通过实施“天府工匠”计划和创新开展“四进”活动等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培育国家级、市级和区级传承人36人、新一代传承人候选人群80余人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非遗传承人唐骏被评为“天府工匠”领军人才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二是阵地建设持续加强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建成云峰剪纸等10个非遗保护基地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白花石刻工作室被评为“四川省优秀非遗工坊”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三是宣传活动日趋丰富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利用重大节假日和自然遗产日集中展示牛灯、彩莲船等非遗文化;积极组织参加省、市非遗文化活动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有效提升了社会影响力</w:t>
      </w:r>
      <w:r>
        <w:rPr>
          <w:rFonts w:hint="eastAsia" w:ascii="仿宋_GB2312" w:hAnsi="仿宋_GB2312" w:eastAsia="仿宋_GB2312" w:cs="仿宋_GB2312"/>
          <w:b w:val="0"/>
          <w:bCs/>
          <w:sz w:val="32"/>
          <w:szCs w:val="32"/>
          <w:lang w:eastAsia="zh-CN"/>
        </w:rPr>
        <w:t>。</w:t>
      </w:r>
    </w:p>
    <w:p w14:paraId="7837154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(三)品牌打造初见成效。</w:t>
      </w:r>
      <w:r>
        <w:rPr>
          <w:rFonts w:hint="eastAsia" w:ascii="仿宋_GB2312" w:hAnsi="仿宋_GB2312" w:eastAsia="仿宋_GB2312" w:cs="仿宋_GB2312"/>
          <w:b w:val="0"/>
          <w:bCs/>
          <w:sz w:val="32"/>
          <w:szCs w:val="32"/>
        </w:rPr>
        <w:t>一是文创产品创新发展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开发的“女皇香”等“曌文化”文创产品逐步形成地方特色旅游品牌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在义乌文旅交博会和第三届国际消博会上斩获大奖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影响力逐步扩大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二是文艺精品推陈出新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2023年创作文艺作品60余件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情景舞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诗画利州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在第八届中国成都国际非遗节天府新区分会场嘉年华比赛中夺魁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民俗歌曲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山水之恋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荣获广元市首届民歌大赛一等奖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三是文旅融合初见成效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谋划实施了利州文化产业园、天曌山旅游度假区等文旅项目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初步形成文旅产业集群</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利州区荣获“中国最美生态文化旅游目的地”“中国民间文化艺术之乡”等称号</w:t>
      </w:r>
      <w:r>
        <w:rPr>
          <w:rFonts w:hint="eastAsia" w:ascii="仿宋_GB2312" w:hAnsi="仿宋_GB2312" w:eastAsia="仿宋_GB2312" w:cs="仿宋_GB2312"/>
          <w:b w:val="0"/>
          <w:bCs/>
          <w:sz w:val="32"/>
          <w:szCs w:val="32"/>
          <w:lang w:eastAsia="zh-CN"/>
        </w:rPr>
        <w:t>。</w:t>
      </w:r>
    </w:p>
    <w:p w14:paraId="604AB7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sz w:val="32"/>
          <w:szCs w:val="32"/>
        </w:rPr>
        <w:t>三、存在的主要问题和不足</w:t>
      </w:r>
    </w:p>
    <w:p w14:paraId="270751C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(一)保护传承力度不够。</w:t>
      </w:r>
      <w:r>
        <w:rPr>
          <w:rFonts w:hint="eastAsia" w:ascii="仿宋_GB2312" w:hAnsi="仿宋_GB2312" w:eastAsia="仿宋_GB2312" w:cs="仿宋_GB2312"/>
          <w:b w:val="0"/>
          <w:bCs/>
          <w:sz w:val="32"/>
          <w:szCs w:val="32"/>
        </w:rPr>
        <w:t>一是资源掌握还不够精准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非遗文化资源统计分类不够精细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保护工作基础还不扎实</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二是保护意识还需增强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一些单位和个人对非遗保护传承重要性认识不足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群众参与度不高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三是传承人才培养不足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因非遗文化自身原因和培养机制还不规范有效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有的非遗传承“后继无人”</w:t>
      </w:r>
      <w:r>
        <w:rPr>
          <w:rFonts w:hint="eastAsia" w:ascii="仿宋_GB2312" w:hAnsi="仿宋_GB2312" w:eastAsia="仿宋_GB2312" w:cs="仿宋_GB2312"/>
          <w:b w:val="0"/>
          <w:bCs/>
          <w:sz w:val="32"/>
          <w:szCs w:val="32"/>
          <w:lang w:eastAsia="zh-CN"/>
        </w:rPr>
        <w:t>。</w:t>
      </w:r>
    </w:p>
    <w:p w14:paraId="4CE770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(二)支撑保障还较欠缺。</w:t>
      </w:r>
      <w:r>
        <w:rPr>
          <w:rFonts w:hint="eastAsia" w:ascii="仿宋_GB2312" w:hAnsi="仿宋_GB2312" w:eastAsia="仿宋_GB2312" w:cs="仿宋_GB2312"/>
          <w:b w:val="0"/>
          <w:bCs/>
          <w:sz w:val="32"/>
          <w:szCs w:val="32"/>
        </w:rPr>
        <w:t>一是政策支持乏力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没有制定地方性管用政策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统筹力度不足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成效不明显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二是经费保障不足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财政预算较少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仅靠基层自筹或民间资金支撑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三是工作合力不够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联动机制不健全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部门权责不够明晰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还未形成工作合力</w:t>
      </w:r>
      <w:r>
        <w:rPr>
          <w:rFonts w:hint="eastAsia" w:ascii="仿宋_GB2312" w:hAnsi="仿宋_GB2312" w:eastAsia="仿宋_GB2312" w:cs="仿宋_GB2312"/>
          <w:b w:val="0"/>
          <w:bCs/>
          <w:sz w:val="32"/>
          <w:szCs w:val="32"/>
          <w:lang w:eastAsia="zh-CN"/>
        </w:rPr>
        <w:t>。</w:t>
      </w:r>
    </w:p>
    <w:p w14:paraId="6F80392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(三)开发利用亟待突破。</w:t>
      </w:r>
      <w:r>
        <w:rPr>
          <w:rFonts w:hint="eastAsia" w:ascii="仿宋_GB2312" w:hAnsi="仿宋_GB2312" w:eastAsia="仿宋_GB2312" w:cs="仿宋_GB2312"/>
          <w:b w:val="0"/>
          <w:bCs/>
          <w:sz w:val="32"/>
          <w:szCs w:val="32"/>
        </w:rPr>
        <w:t>一是开发规划不完善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没有规范编制专项规划或中长期规划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工作开展时断时续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二是资源分散提升难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各类非遗资源分布零散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个体单薄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提升难度大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同质化现象突出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吸引力不强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三是品牌效应未凸显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挖掘和创新转化不够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开发利用思路不宽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特色品牌市场竞争力弱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四是文旅融合不够紧密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文旅项目谋划较少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非遗文化促进旅游经济作用不明显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“文化＋”“旅游＋”拓展不够</w:t>
      </w:r>
      <w:r>
        <w:rPr>
          <w:rFonts w:hint="eastAsia" w:ascii="仿宋_GB2312" w:hAnsi="仿宋_GB2312" w:eastAsia="仿宋_GB2312" w:cs="仿宋_GB2312"/>
          <w:b w:val="0"/>
          <w:bCs/>
          <w:sz w:val="32"/>
          <w:szCs w:val="32"/>
          <w:lang w:eastAsia="zh-CN"/>
        </w:rPr>
        <w:t>。</w:t>
      </w:r>
    </w:p>
    <w:p w14:paraId="34B162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(四)宣传力度有待加强。</w:t>
      </w:r>
      <w:r>
        <w:rPr>
          <w:rFonts w:hint="eastAsia" w:ascii="仿宋_GB2312" w:hAnsi="仿宋_GB2312" w:eastAsia="仿宋_GB2312" w:cs="仿宋_GB2312"/>
          <w:b w:val="0"/>
          <w:bCs/>
          <w:sz w:val="32"/>
          <w:szCs w:val="32"/>
        </w:rPr>
        <w:t>一是宣传措施不够多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没有组建和培养专业导游、讲解员等宣传队伍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宣传经费不足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力度不够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体系化、多元化宣传格局还未形成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二是宣传载体不丰富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仅以电视广告、宣传画、广告牌形式进行社会宣传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文创产品多以“伴手礼”形式“单线”输出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民间曲艺也仅在重大节庆活动和民俗中现场展示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载体较少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氛围不浓</w:t>
      </w:r>
      <w:r>
        <w:rPr>
          <w:rFonts w:hint="eastAsia" w:ascii="仿宋_GB2312" w:hAnsi="仿宋_GB2312" w:eastAsia="仿宋_GB2312" w:cs="仿宋_GB2312"/>
          <w:b w:val="0"/>
          <w:bCs/>
          <w:sz w:val="32"/>
          <w:szCs w:val="32"/>
          <w:lang w:eastAsia="zh-CN"/>
        </w:rPr>
        <w:t>。</w:t>
      </w:r>
    </w:p>
    <w:p w14:paraId="0007319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四、对策建议</w:t>
      </w:r>
    </w:p>
    <w:p w14:paraId="5A591C4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(一)夯实工作基础</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强化政策资金人才保障。</w:t>
      </w:r>
      <w:r>
        <w:rPr>
          <w:rFonts w:hint="eastAsia" w:ascii="仿宋_GB2312" w:hAnsi="仿宋_GB2312" w:eastAsia="仿宋_GB2312" w:cs="仿宋_GB2312"/>
          <w:b w:val="0"/>
          <w:bCs/>
          <w:sz w:val="32"/>
          <w:szCs w:val="32"/>
        </w:rPr>
        <w:t>一是全面摸清家底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科学制定规划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建立完善调查工作体系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织密调查网络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强化业务培训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开展经常性调查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分类建立明细台账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完善资源数据库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实行数字化管理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站高谋远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编制完善专项规划和中长期发展规划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制定阶段性工作方案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分步实施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有序推进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二是强化支持政策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健全工作机制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制定落实支持性保障政策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适度放宽约束性政策规定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优化开发环境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建立完善工作联动机制和激励机制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加强上下联动和部门协作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引</w:t>
      </w:r>
      <w:bookmarkStart w:id="4" w:name="_GoBack"/>
      <w:bookmarkEnd w:id="4"/>
      <w:r>
        <w:rPr>
          <w:rFonts w:hint="eastAsia" w:ascii="仿宋_GB2312" w:hAnsi="仿宋_GB2312" w:eastAsia="仿宋_GB2312" w:cs="仿宋_GB2312"/>
          <w:b w:val="0"/>
          <w:bCs/>
          <w:sz w:val="32"/>
          <w:szCs w:val="32"/>
        </w:rPr>
        <w:t>导社会各界广泛参与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三是积极谋划项目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加强资金支持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结合全区旅游产业经济发展部署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采取打捆、整合等方式谋划和包装一批非遗文化保护传承利用项目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采取“上争下筹、内吸外引”的方式多方筹措资金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将非遗文化保护和传承利用工作经费纳入财政预算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探索设立专项扶持资金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吸引社会资金创立文艺合作社、非遗企业等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破解经费短缺瓶颈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四是加强队伍建设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强化人才支撑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采取“外引内育”方式加强“工匠”人才队伍建设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鼓励非遗传承人带徒传艺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持续加大“非遗四进”和传习基地建设力度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积极打造文创孵化基地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全方位培育本土人才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建立完善人才库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实施“金牌导游”计划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着力培育专家型导游和讲解员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力争实现“一景区一导游员、一景点一讲解员”</w:t>
      </w:r>
      <w:r>
        <w:rPr>
          <w:rFonts w:hint="eastAsia" w:ascii="仿宋_GB2312" w:hAnsi="仿宋_GB2312" w:eastAsia="仿宋_GB2312" w:cs="仿宋_GB2312"/>
          <w:b w:val="0"/>
          <w:bCs/>
          <w:sz w:val="32"/>
          <w:szCs w:val="32"/>
          <w:lang w:eastAsia="zh-CN"/>
        </w:rPr>
        <w:t>。</w:t>
      </w:r>
    </w:p>
    <w:p w14:paraId="08E496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(二)实施品牌计划</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注重宣传提升社会影响。</w:t>
      </w:r>
      <w:r>
        <w:rPr>
          <w:rFonts w:hint="eastAsia" w:ascii="仿宋_GB2312" w:hAnsi="仿宋_GB2312" w:eastAsia="仿宋_GB2312" w:cs="仿宋_GB2312"/>
          <w:b w:val="0"/>
          <w:bCs/>
          <w:sz w:val="32"/>
          <w:szCs w:val="32"/>
        </w:rPr>
        <w:t>一是优化整合同质资源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抓住游客猎奇心态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在主题文创、智慧文创方面寻求突破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集零为整优化整合综合开发同质文化资源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增大体量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广泛收集奇闻轶事、传奇传说、歌本唱词等并与非遗文化有机融合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创新形式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增强趣味性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开发全流程体验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提升文创产品产业化程度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二是着力打造文创品牌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紧扣擦亮“女皇故里●康养利州”品牌要求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以蜀道文化为统揽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在以“女皇”蒸凉面、“则天女皇筵”和“乡土菜”等为重点的“吃”、以川北传统民宿建设为重点的“住”、以文创型旅游道路建设为重点的“行”、以“新、奇、特、优”文创产品开发为重点的“购”和以深度开发互动项目为重点的“游”“娱”等方面下功夫</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着力打造“利州品牌”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让游客充分感受到女皇故里的特有魅力和蜀道文化的深厚底蕴</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三是多维开展社会宣传</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组建专业团队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创新宣传方式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拓展宣传路径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丰富宣传内容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提升宣传品味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创作优质文学作品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制作非遗文化影视节目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依托图书、电视、网络等多种形式扩大宣传面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大力发掘和培育网络达人、网红博主等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通过抖音、快手等APP视频端宣传推介</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举办文艺节目创演和有奖知识竞赛、创意作品比赛等活动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不断提高文旅产品知名度、美誉度和影响力</w:t>
      </w:r>
      <w:r>
        <w:rPr>
          <w:rFonts w:hint="eastAsia" w:ascii="仿宋_GB2312" w:hAnsi="仿宋_GB2312" w:eastAsia="仿宋_GB2312" w:cs="仿宋_GB2312"/>
          <w:b w:val="0"/>
          <w:bCs/>
          <w:sz w:val="32"/>
          <w:szCs w:val="32"/>
          <w:lang w:eastAsia="zh-CN"/>
        </w:rPr>
        <w:t>。</w:t>
      </w:r>
    </w:p>
    <w:p w14:paraId="1EB3AF5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(三)创新发展理念</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推动文化旅游深度融合。</w:t>
      </w:r>
      <w:r>
        <w:rPr>
          <w:rFonts w:hint="eastAsia" w:ascii="仿宋_GB2312" w:hAnsi="仿宋_GB2312" w:eastAsia="仿宋_GB2312" w:cs="仿宋_GB2312"/>
          <w:b w:val="0"/>
          <w:bCs/>
          <w:sz w:val="32"/>
          <w:szCs w:val="32"/>
        </w:rPr>
        <w:t>一是着力培育新型业态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突出“女皇故里”地域文化特色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创新“文化+”模式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打造“演艺＋文创＋研学”文化旅游综合体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推动乡村旅游、康养旅游、研学旅游融合发展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建设“非遗文创一条街”“民俗体验园”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统筹推进特色文创产品和传统曲艺、民俗展演进景区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丰富文化体验活动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实现理念、职能、产业、市场、服务、交流“六大融合”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二是完善基础配套设施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健全公共服务和基础配套等设施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全面完善停车场、卫生间、饮水设施、导览图公示牌等</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安装道路防护栏、安全警示牌、电子监控等安全防护设施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进一步完善旅游交通路网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全面畅通各旅游目的地之间的交通道路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提升文旅融合发展“硬”实力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三是提升经营服务能力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学习和拓展淄博经验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创新经营模式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规范行业行为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提升服务质量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价格上先让利再营利</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管理上既灵活更温馨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丰富文创产品层次、档次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形成高、中、低端配套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扩大受众面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严厉打击扰乱文旅市场的不法行为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畅通游客维权渠道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切实保障游客基本权益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做实文旅融合发展“软”实力</w:t>
      </w:r>
      <w:r>
        <w:rPr>
          <w:rFonts w:hint="eastAsia" w:ascii="仿宋_GB2312" w:hAnsi="仿宋_GB2312" w:eastAsia="仿宋_GB2312" w:cs="仿宋_GB2312"/>
          <w:b w:val="0"/>
          <w:bCs/>
          <w:sz w:val="32"/>
          <w:szCs w:val="32"/>
          <w:lang w:eastAsia="zh-CN"/>
        </w:rPr>
        <w:t>。</w:t>
      </w:r>
    </w:p>
    <w:p w14:paraId="5123D1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B79F4E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093E86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546CA2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1B9747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2F3F1F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409FE3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E8DC8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417463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3FFD5ABA">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r>
        <w:rPr>
          <w:rFonts w:hint="eastAsia" w:ascii="方正小标宋简体" w:hAnsi="方正小标宋简体" w:eastAsia="方正小标宋简体" w:cs="方正小标宋简体"/>
          <w:b w:val="0"/>
          <w:bCs/>
          <w:kern w:val="44"/>
          <w:sz w:val="44"/>
          <w:szCs w:val="44"/>
          <w:lang w:val="en-US" w:eastAsia="zh-CN" w:bidi="ar-SA"/>
        </w:rPr>
        <w:t>关于射洪市工农文旅融合发展的调研报告</w:t>
      </w:r>
    </w:p>
    <w:p w14:paraId="624F78A2">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44"/>
          <w:szCs w:val="44"/>
          <w:lang w:val="en-US" w:eastAsia="zh-CN" w:bidi="ar-SA"/>
        </w:rPr>
      </w:pPr>
    </w:p>
    <w:p w14:paraId="5045E52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kern w:val="44"/>
          <w:sz w:val="32"/>
          <w:szCs w:val="32"/>
          <w:lang w:val="en-US" w:eastAsia="zh-CN" w:bidi="ar-SA"/>
        </w:rPr>
      </w:pPr>
      <w:r>
        <w:rPr>
          <w:rFonts w:hint="eastAsia" w:ascii="方正小标宋简体" w:hAnsi="方正小标宋简体" w:eastAsia="方正小标宋简体" w:cs="方正小标宋简体"/>
          <w:b w:val="0"/>
          <w:bCs/>
          <w:kern w:val="44"/>
          <w:sz w:val="32"/>
          <w:szCs w:val="32"/>
          <w:lang w:val="en-US" w:eastAsia="zh-CN" w:bidi="ar-SA"/>
        </w:rPr>
        <w:t>遂宁市射洪市人大常委会</w:t>
      </w:r>
    </w:p>
    <w:p w14:paraId="22166E5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p>
    <w:p w14:paraId="40AF95D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“工业＋农业＋文化＋旅游”融合发展已经成为一种极具实践意义的发展模式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近年来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射洪立足自身发展实际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依托独特的工业、农业资源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与文化和旅游有机结合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逐步形成工农文旅融合发展业态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成为区域经济增长新亮点和高质量发展新引擎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有力促进了产业结构转型、城乡融合发展和群众增收致富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经过深入调研</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现将射洪市工农文旅融合发展情况报告如下</w:t>
      </w:r>
      <w:r>
        <w:rPr>
          <w:rFonts w:hint="eastAsia" w:ascii="仿宋_GB2312" w:hAnsi="仿宋_GB2312" w:eastAsia="仿宋_GB2312" w:cs="仿宋_GB2312"/>
          <w:b w:val="0"/>
          <w:bCs/>
          <w:sz w:val="32"/>
          <w:szCs w:val="32"/>
          <w:lang w:eastAsia="zh-CN"/>
        </w:rPr>
        <w:t>。</w:t>
      </w:r>
    </w:p>
    <w:p w14:paraId="014DA9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一、基本情况</w:t>
      </w:r>
    </w:p>
    <w:p w14:paraId="185AAE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射洪市文化旅游资源富集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类型丰富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核心资源品质高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独特性强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功能分区明显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可塑性好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极具可开发价值</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全市共有文旅资源点1020处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国家4A级景区3个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3A景区4个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市级以上文化旅游产业示范基地5个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省级研学示范基地5个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特色旅游商品企业19家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有全国重点文物保护单位陈子昂读书台、饶益寺2处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县级以上非物质文化遗产39个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县级以上非遗传承人51人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国家级非物质文化遗产沱牌曲酒传统酿造技艺1个</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先后被评为全国文化先进县、中国民间文化(诗画)艺术之乡、全国县域旅游发展潜力百佳县、天府旅游名县、四川省乡村旅游强县</w:t>
      </w:r>
      <w:r>
        <w:rPr>
          <w:rFonts w:hint="eastAsia" w:ascii="仿宋_GB2312" w:hAnsi="仿宋_GB2312" w:eastAsia="仿宋_GB2312" w:cs="仿宋_GB2312"/>
          <w:b w:val="0"/>
          <w:bCs/>
          <w:sz w:val="32"/>
          <w:szCs w:val="32"/>
          <w:lang w:eastAsia="zh-CN"/>
        </w:rPr>
        <w:t>。</w:t>
      </w:r>
    </w:p>
    <w:p w14:paraId="3A67DA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二、主要成效</w:t>
      </w:r>
    </w:p>
    <w:p w14:paraId="3752336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射洪市深度挖掘“诗酒同乡”文化资源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巩固天府旅游名县创建成果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高规格举办文化体育和旅游发展大会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连续九届举办陈子昂国际诗歌周活动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创新设立“陈子昂文艺奖”“来者奖”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积极推动新时代文旅融合高质量发展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全市充分结合工业强县和乡村振兴战略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成功打造沱牌舍得文化旅游区、3536三线城以及双江村、牛心村、龙泉村等一批较为典型的精品项目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通过盘活村闲置资产、入股村级发展资金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与四川美丰、遂宁正大、射洪农投等企业共建共营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打造科普研学和学农教育基地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形成特色鲜明的工农文旅品牌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覆盖“吃住行游购娱”全消费链条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有力促进射洪多种产业发展壮大</w:t>
      </w:r>
      <w:r>
        <w:rPr>
          <w:rFonts w:hint="eastAsia" w:ascii="仿宋_GB2312" w:hAnsi="仿宋_GB2312" w:eastAsia="仿宋_GB2312" w:cs="仿宋_GB2312"/>
          <w:b w:val="0"/>
          <w:bCs/>
          <w:sz w:val="32"/>
          <w:szCs w:val="32"/>
          <w:lang w:eastAsia="zh-CN"/>
        </w:rPr>
        <w:t>。</w:t>
      </w:r>
    </w:p>
    <w:p w14:paraId="6B38E95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(一)政策保障强劲有力。</w:t>
      </w:r>
      <w:r>
        <w:rPr>
          <w:rFonts w:hint="eastAsia" w:ascii="仿宋_GB2312" w:hAnsi="仿宋_GB2312" w:eastAsia="仿宋_GB2312" w:cs="仿宋_GB2312"/>
          <w:b w:val="0"/>
          <w:bCs/>
          <w:sz w:val="32"/>
          <w:szCs w:val="32"/>
        </w:rPr>
        <w:t>成立以市委书记、市长为双组长的射洪市文化旅游产业发展和管理领导小组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制定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射洪市文化旅游工作联席会议制度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定期召开旅游发展大会和重点文旅工作联席会议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出台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射洪市“十四五”文旅广电专项规划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等纲领性文件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构建“诗酒同乡、城乡共融、多元共融”的旅游大格局</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积极促进工农文旅产业发展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建立全市文旅发展智库</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为工农文旅产业高质量发展提供高水平智力支持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安排专项资金用于全市文旅整体形象宣传、旅游促销、人才培训、品牌创建、扶持名优旅游商品开发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修订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射洪市促进文化旅游产业发展扶持政策和奖励办法</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兑现品牌创建奖励资金146万元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助力文旅企业提档升级</w:t>
      </w:r>
      <w:r>
        <w:rPr>
          <w:rFonts w:hint="eastAsia" w:ascii="仿宋_GB2312" w:hAnsi="仿宋_GB2312" w:eastAsia="仿宋_GB2312" w:cs="仿宋_GB2312"/>
          <w:b w:val="0"/>
          <w:bCs/>
          <w:sz w:val="32"/>
          <w:szCs w:val="32"/>
          <w:lang w:eastAsia="zh-CN"/>
        </w:rPr>
        <w:t>。</w:t>
      </w:r>
    </w:p>
    <w:p w14:paraId="489ACC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(二)多元业态蓬勃发展。</w:t>
      </w:r>
      <w:r>
        <w:rPr>
          <w:rFonts w:hint="eastAsia" w:ascii="仿宋_GB2312" w:hAnsi="仿宋_GB2312" w:eastAsia="仿宋_GB2312" w:cs="仿宋_GB2312"/>
          <w:b w:val="0"/>
          <w:bCs/>
          <w:sz w:val="32"/>
          <w:szCs w:val="32"/>
        </w:rPr>
        <w:t>突出项目引领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注重品牌塑造</w:t>
      </w:r>
      <w:r>
        <w:rPr>
          <w:rFonts w:hint="eastAsia" w:ascii="仿宋_GB2312" w:hAnsi="仿宋_GB2312" w:eastAsia="仿宋_GB2312" w:cs="仿宋_GB2312"/>
          <w:b w:val="0"/>
          <w:bCs/>
          <w:sz w:val="32"/>
          <w:szCs w:val="32"/>
          <w:lang w:eastAsia="zh-CN"/>
        </w:rPr>
        <w:t>，</w:t>
      </w:r>
    </w:p>
    <w:p w14:paraId="03F4A5D5">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积极完善公共文化旅游基础配套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推进“文旅＋休闲度假”“文旅＋农业”“文旅＋工业”“文旅＋康养”“文旅＋影视”“文旅+研学”等产业深度融合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将“诗酒文化”符号融入城市建设肌理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设计开发“子昂有礼”系列文创产品50余种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获评省级文化产业和旅游产业融合示范区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依托千亿锂电产业园和千亿食品产业园建设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构建“观锂电创新之速”“品川酒智慧之旅”工业旅游品牌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沱牌舍得文化旅游区成功入选成渝十大文旅产业地标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打造涪江流域文化带、梓江沿线乡村旅游带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获评全省文化产业赋能乡村振兴试点县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双江村创成天府旅游名村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中皇村、龙泉村获评省级旅游重点村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2022年10月以来</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双江村、中皇村累计接待游客26万余人次</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实现旅游综合收入1446万元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带动村集体经济增收68万元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省市媒体争先报道相关案例</w:t>
      </w:r>
      <w:r>
        <w:rPr>
          <w:rFonts w:hint="eastAsia" w:ascii="仿宋_GB2312" w:hAnsi="仿宋_GB2312" w:eastAsia="仿宋_GB2312" w:cs="仿宋_GB2312"/>
          <w:b w:val="0"/>
          <w:bCs/>
          <w:sz w:val="32"/>
          <w:szCs w:val="32"/>
          <w:lang w:eastAsia="zh-CN"/>
        </w:rPr>
        <w:t>。</w:t>
      </w:r>
    </w:p>
    <w:p w14:paraId="3C7FC9E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楷体_GB2312" w:hAnsi="楷体_GB2312" w:eastAsia="楷体_GB2312" w:cs="楷体_GB2312"/>
          <w:b w:val="0"/>
          <w:bCs/>
          <w:sz w:val="32"/>
          <w:szCs w:val="32"/>
        </w:rPr>
        <w:t>(三)宣传营销推陈出新。</w:t>
      </w:r>
      <w:r>
        <w:rPr>
          <w:rFonts w:hint="eastAsia" w:ascii="仿宋_GB2312" w:hAnsi="仿宋_GB2312" w:eastAsia="仿宋_GB2312" w:cs="仿宋_GB2312"/>
          <w:b w:val="0"/>
          <w:bCs/>
          <w:sz w:val="32"/>
          <w:szCs w:val="32"/>
        </w:rPr>
        <w:t>制定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射洪市全域旅游宣传营销联动方案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创新方式方法着力宣传推广</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城市外宣效应持续发酵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“诗里酒里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射洪等你”文旅宣传口号脍炙人口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“子昂故里●醉美射洪”“诗酒之乡”等旅游形象深入人心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“子昂邀您●游读射洪”研学品牌备受欢迎</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推出国际传播宣传片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助力青堤铁水火花龙走出国门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春苗杂技艺术团连续4年入选国家文化出口重点企业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成功举办四川省第四届生态旅游博览会、中国全民健身跑、首届成渝地区体育旅游嘉年华、点亮双子塔城市推荐会、上海豫园美食节等重大文旅活动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陈子昂国际诗歌周、端午龙舟赛等已成为川渝地区具有较大影响力的节会活动品牌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青堤菜刀登上央视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舌尖上的中国(器)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栏目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非物质文化遗产桃子龙亮相央视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欢乐城市派●宝藏遂宁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栏目</w:t>
      </w:r>
      <w:r>
        <w:rPr>
          <w:rFonts w:hint="eastAsia" w:ascii="仿宋_GB2312" w:hAnsi="仿宋_GB2312" w:eastAsia="仿宋_GB2312" w:cs="仿宋_GB2312"/>
          <w:b w:val="0"/>
          <w:bCs/>
          <w:sz w:val="32"/>
          <w:szCs w:val="32"/>
          <w:lang w:eastAsia="zh-CN"/>
        </w:rPr>
        <w:t>。</w:t>
      </w:r>
    </w:p>
    <w:p w14:paraId="754565A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方正黑体_GBK" w:hAnsi="方正黑体_GBK" w:eastAsia="方正黑体_GBK" w:cs="方正黑体_GBK"/>
          <w:b w:val="0"/>
          <w:bCs/>
          <w:sz w:val="32"/>
          <w:szCs w:val="32"/>
        </w:rPr>
      </w:pPr>
      <w:r>
        <w:rPr>
          <w:rFonts w:hint="eastAsia" w:ascii="方正黑体_GBK" w:hAnsi="方正黑体_GBK" w:eastAsia="方正黑体_GBK" w:cs="方正黑体_GBK"/>
          <w:b w:val="0"/>
          <w:bCs/>
          <w:sz w:val="32"/>
          <w:szCs w:val="32"/>
        </w:rPr>
        <w:t>三、存在的问题</w:t>
      </w:r>
    </w:p>
    <w:p w14:paraId="2E59661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我市工农文旅融合发展在满足游客需求和推动地方经济发展的同时</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也存在一些问题和挑战</w:t>
      </w:r>
      <w:r>
        <w:rPr>
          <w:rFonts w:hint="eastAsia" w:ascii="仿宋_GB2312" w:hAnsi="仿宋_GB2312" w:eastAsia="仿宋_GB2312" w:cs="仿宋_GB2312"/>
          <w:b w:val="0"/>
          <w:bCs/>
          <w:sz w:val="32"/>
          <w:szCs w:val="32"/>
          <w:lang w:eastAsia="zh-CN"/>
        </w:rPr>
        <w:t>。</w:t>
      </w:r>
    </w:p>
    <w:p w14:paraId="4424E7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一是文旅资源利用有待提升。全市文旅资源挖掘利用不深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产品类型不够丰富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文旅产业牵引力释放不充分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品牌影响力和知名度有待提升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文创产品开发不足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虽然感遇方印、文房四宝等文创在四川省旅游商品大赛上荣获金奖</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但总体来说特色文创产品仍然偏少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工农文旅融合发展大项目不多</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缺乏龙头企业引领</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乡村旅游项目因土地、资金和政策等原因发展受限</w:t>
      </w:r>
      <w:r>
        <w:rPr>
          <w:rFonts w:hint="eastAsia" w:ascii="仿宋_GB2312" w:hAnsi="仿宋_GB2312" w:eastAsia="仿宋_GB2312" w:cs="仿宋_GB2312"/>
          <w:b w:val="0"/>
          <w:bCs/>
          <w:sz w:val="32"/>
          <w:szCs w:val="32"/>
          <w:lang w:eastAsia="zh-CN"/>
        </w:rPr>
        <w:t>。</w:t>
      </w:r>
    </w:p>
    <w:p w14:paraId="05950F3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二是发展弱项短板有待弥补。工农文旅融合发展要素基础较薄弱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“快进慢游”的旅游交通体系不完善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部分景点、农家乐公共交通数量不足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景区及周边的购物、特色餐饮、休闲娱乐等配套设施不完善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旅游接待、集散功能较弱</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旅游服务水平有待提升</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专业人才缺乏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从业人员整体素质不高</w:t>
      </w:r>
      <w:r>
        <w:rPr>
          <w:rFonts w:hint="eastAsia" w:ascii="仿宋_GB2312" w:hAnsi="仿宋_GB2312" w:eastAsia="仿宋_GB2312" w:cs="仿宋_GB2312"/>
          <w:b w:val="0"/>
          <w:bCs/>
          <w:sz w:val="32"/>
          <w:szCs w:val="32"/>
          <w:lang w:eastAsia="zh-CN"/>
        </w:rPr>
        <w:t>。</w:t>
      </w:r>
    </w:p>
    <w:p w14:paraId="1F757E4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三是融合发展深度有待拓展。工农文旅融合发展层次较浅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投资环境、市场、渠道等方面融合还未完全实现</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融合效益不够显著</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文旅业态大多属于观光休闲类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创新力度不足</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沉浸式体验深度不够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难以吸引游客在景区长时间停留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品牌建设意识仍有所欠缺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“互联网＋”模式运用不够</w:t>
      </w:r>
      <w:r>
        <w:rPr>
          <w:rFonts w:hint="eastAsia" w:ascii="仿宋_GB2312" w:hAnsi="仿宋_GB2312" w:eastAsia="仿宋_GB2312" w:cs="仿宋_GB2312"/>
          <w:b w:val="0"/>
          <w:bCs/>
          <w:sz w:val="32"/>
          <w:szCs w:val="32"/>
          <w:lang w:eastAsia="zh-CN"/>
        </w:rPr>
        <w:t>。</w:t>
      </w:r>
    </w:p>
    <w:p w14:paraId="58D66EB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rPr>
      </w:pPr>
      <w:r>
        <w:rPr>
          <w:rFonts w:hint="eastAsia" w:ascii="方正黑体_GBK" w:hAnsi="方正黑体_GBK" w:eastAsia="方正黑体_GBK" w:cs="方正黑体_GBK"/>
          <w:b w:val="0"/>
          <w:bCs/>
          <w:sz w:val="32"/>
          <w:szCs w:val="32"/>
        </w:rPr>
        <w:t>四、推进工农文旅融合发展的几点建议</w:t>
      </w:r>
    </w:p>
    <w:p w14:paraId="55C4CA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(一)坚持规划引领</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为工农文旅融合发展提供充分的政策保障</w:t>
      </w:r>
    </w:p>
    <w:p w14:paraId="12E20E8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要建立健全政策法规体系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明确工农文旅融合发展的政策方向和支持力度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坚持高端定位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加速城乡文旅空间重构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依托子昂文化、诗酒文化、目连文化、科普科考文化等特色文化资源和“一江两岸三城四湖七景区”自然资源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打造“人无我有、人有我精”的文化旅游品牌</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始终践行“全域旅游、近悦远来”的发展理念</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进一步完善</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射洪市全域旅游发展规划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在旅游用地、道路、基础设施、环境整治、文化创意、商贸流通、产业发展、体制机制创新等方面进行全面系统规划</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推进文旅与工业、农业、商贸、体育、教育等产业深度融合发展</w:t>
      </w:r>
      <w:r>
        <w:rPr>
          <w:rFonts w:hint="eastAsia" w:ascii="仿宋_GB2312" w:hAnsi="仿宋_GB2312" w:eastAsia="仿宋_GB2312" w:cs="仿宋_GB2312"/>
          <w:b w:val="0"/>
          <w:bCs/>
          <w:sz w:val="32"/>
          <w:szCs w:val="32"/>
          <w:lang w:eastAsia="zh-CN"/>
        </w:rPr>
        <w:t>。</w:t>
      </w:r>
    </w:p>
    <w:p w14:paraId="6DAD5C7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(二)立足项目培育</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为工农文旅融合发展提供持续的动力活力</w:t>
      </w:r>
    </w:p>
    <w:p w14:paraId="1D68BD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要深入挖掘工业、农业、文化、生态等资源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策划包装一批创意文旅项目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尤其加强对陈子昂文化IP的包装</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打造“大话子昂”“对酒当歌”“重回侏罗纪”等核心项目</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大力开发沉浸式、互动式体验产品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加快“沱牌舍得地中海俱乐部”项目建设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推进舍得酒文化博物馆、酒文化品鉴中心建设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助推沱牌舍得争创国家工业旅游示范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加快贺诚故里“红医第一村”建设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用好3536三线城省级中医药旅游示范基地以及中华侏罗纪探秘旅游区、文宗苑、金华山等特色资源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丰富优质文旅产品供给</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满足大众旅游特色化、多层次需求</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加快培育“麦加牛肉”“子昂李”“射洪红酱”等“射洪味道”美食品牌以及“子昂文创”“射洪念享”“诗廉文化产品”等特色文创旅游商品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大力发展休闲采摘、精品民宿、农事体验、观光度假等业态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重点关注倍受青睐的自驾、亲子、家庭出游方式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重视年轻消费群体追捧的剧本杀、盲盒、汉服、国潮等新消费热点</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推出亲水体验、数字艺术、特色演艺等个性化创意产品</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推动供给侧求新、求变</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努力补齐高品质、深体验文旅产品短板</w:t>
      </w:r>
      <w:r>
        <w:rPr>
          <w:rFonts w:hint="eastAsia" w:ascii="仿宋_GB2312" w:hAnsi="仿宋_GB2312" w:eastAsia="仿宋_GB2312" w:cs="仿宋_GB2312"/>
          <w:b w:val="0"/>
          <w:bCs/>
          <w:sz w:val="32"/>
          <w:szCs w:val="32"/>
          <w:lang w:eastAsia="zh-CN"/>
        </w:rPr>
        <w:t>。</w:t>
      </w:r>
    </w:p>
    <w:p w14:paraId="5A2CE9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(三)提升服务品质</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为工农文旅融合发展提供坚实的基础支撑</w:t>
      </w:r>
    </w:p>
    <w:p w14:paraId="44AC4C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要加快完善外联内畅的交通设施建设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加快绵遂内城际铁路建设和旅游景观大道、健康绿道、游步道建设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着力完善“快进慢游”的旅游交通体系</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健全完善全市文化旅游大数据中心</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推进智慧文旅建设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提升游客体验度</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积极推进餐饮、住宿设施提档升级</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深入实施新一轮旅游“厕所革命”</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不断提高旅游接待能力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加强旅游软环境建设</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强化旅游行业管理和安全保障</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强化人才培育</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出台优惠政策引进规划和管理类人才</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聘请专业人士对从业人员进行培训</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切实提升旅游综合竞争力</w:t>
      </w:r>
      <w:r>
        <w:rPr>
          <w:rFonts w:hint="eastAsia" w:ascii="仿宋_GB2312" w:hAnsi="仿宋_GB2312" w:eastAsia="仿宋_GB2312" w:cs="仿宋_GB2312"/>
          <w:b w:val="0"/>
          <w:bCs/>
          <w:sz w:val="32"/>
          <w:szCs w:val="32"/>
          <w:lang w:eastAsia="zh-CN"/>
        </w:rPr>
        <w:t>。</w:t>
      </w:r>
    </w:p>
    <w:p w14:paraId="3605120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hAnsi="楷体_GB2312" w:eastAsia="楷体_GB2312" w:cs="楷体_GB2312"/>
          <w:b w:val="0"/>
          <w:bCs/>
          <w:sz w:val="32"/>
          <w:szCs w:val="32"/>
        </w:rPr>
      </w:pPr>
      <w:r>
        <w:rPr>
          <w:rFonts w:hint="eastAsia" w:ascii="楷体_GB2312" w:hAnsi="楷体_GB2312" w:eastAsia="楷体_GB2312" w:cs="楷体_GB2312"/>
          <w:b w:val="0"/>
          <w:bCs/>
          <w:sz w:val="32"/>
          <w:szCs w:val="32"/>
        </w:rPr>
        <w:t>(四)注重营销推广</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rPr>
        <w:t>为工农文旅融合发展提供丰富的客源市场</w:t>
      </w:r>
    </w:p>
    <w:p w14:paraId="64DCF11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要加快“文旅＋数字”融合</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精细化提升景区景点营销能力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增设更多游客互动体验区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以点带面提升天府旅游名县影响力、诗酒文化吸引力、文旅产业竞争力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坚持“政府搭台、企业唱戏、大众参与”思路</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支持民间团体、社团组织开展形式多样、雅俗共赏的文旅商贸活动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持续释放消费市场活力</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通过“文旅＋商圈”“节目演艺＋现场互动＋网红直播＋优惠促销”等方式</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联合有影响力的商圈举行推介活动</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力求在异业融合</w:t>
      </w:r>
      <w:r>
        <w:rPr>
          <w:rFonts w:hint="eastAsia" w:ascii="仿宋_GB2312" w:hAnsi="仿宋_GB2312" w:eastAsia="仿宋_GB2312" w:cs="仿宋_GB2312"/>
          <w:b w:val="0"/>
          <w:bCs/>
          <w:sz w:val="32"/>
          <w:szCs w:val="32"/>
        </w:rPr>
        <w:tab/>
      </w:r>
      <w:r>
        <w:rPr>
          <w:rFonts w:hint="eastAsia" w:ascii="仿宋_GB2312" w:hAnsi="仿宋_GB2312" w:eastAsia="仿宋_GB2312" w:cs="仿宋_GB2312"/>
          <w:b w:val="0"/>
          <w:bCs/>
          <w:sz w:val="32"/>
          <w:szCs w:val="32"/>
        </w:rPr>
        <w:t>中形成多业共赢</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探索区域文旅联合体合作模式和发展方向</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构建文旅联合体联盟</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“抱团”培育区域市场</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围绕“涪江诗画长廊”“巴蜀旅游走廊”</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整合市外文旅资源</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sz w:val="32"/>
          <w:szCs w:val="32"/>
        </w:rPr>
        <w:t>提升“子昂故里●诗酒之乡”区域品牌推广力度和深度</w:t>
      </w:r>
      <w:r>
        <w:rPr>
          <w:rFonts w:hint="eastAsia" w:ascii="仿宋_GB2312" w:hAnsi="仿宋_GB2312" w:eastAsia="仿宋_GB2312" w:cs="仿宋_GB2312"/>
          <w:b w:val="0"/>
          <w:bCs/>
          <w:sz w:val="32"/>
          <w:szCs w:val="32"/>
          <w:lang w:eastAsia="zh-CN"/>
        </w:rPr>
        <w:t>。</w:t>
      </w: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7B40E5F0-B3CA-4945-AB68-F0CD673AF494}"/>
  </w:font>
  <w:font w:name="方正楷体简体">
    <w:altName w:val="楷体_GB2312"/>
    <w:panose1 w:val="03000509000000000000"/>
    <w:charset w:val="86"/>
    <w:family w:val="auto"/>
    <w:pitch w:val="default"/>
    <w:sig w:usb0="00000000" w:usb1="00000000" w:usb2="00000000" w:usb3="00000000" w:csb0="00040000" w:csb1="00000000"/>
    <w:embedRegular r:id="rId2" w:fontKey="{41CF346C-058B-4FC3-BAB0-A7703EB46654}"/>
  </w:font>
  <w:font w:name="楷体_GB2312">
    <w:panose1 w:val="02010609030101010101"/>
    <w:charset w:val="86"/>
    <w:family w:val="auto"/>
    <w:pitch w:val="default"/>
    <w:sig w:usb0="00000001" w:usb1="080E0000" w:usb2="00000000" w:usb3="00000000" w:csb0="00040000" w:csb1="00000000"/>
    <w:embedRegular r:id="rId3" w:fontKey="{02578F11-42A6-4540-B7D9-2741433C077A}"/>
  </w:font>
  <w:font w:name="仿宋_GB2312">
    <w:panose1 w:val="02010609030101010101"/>
    <w:charset w:val="86"/>
    <w:family w:val="auto"/>
    <w:pitch w:val="default"/>
    <w:sig w:usb0="00000001" w:usb1="080E0000" w:usb2="00000000" w:usb3="00000000" w:csb0="00040000" w:csb1="00000000"/>
    <w:embedRegular r:id="rId4" w:fontKey="{9568C077-5C65-45D4-AEE6-F9B201BEB655}"/>
  </w:font>
  <w:font w:name="微软雅黑">
    <w:panose1 w:val="020B0503020204020204"/>
    <w:charset w:val="86"/>
    <w:family w:val="auto"/>
    <w:pitch w:val="default"/>
    <w:sig w:usb0="80000287" w:usb1="280F3C52" w:usb2="00000016" w:usb3="00000000" w:csb0="0004001F" w:csb1="00000000"/>
    <w:embedRegular r:id="rId5" w:fontKey="{E83D01AA-6EEB-4A50-A847-37745BA72B2B}"/>
  </w:font>
  <w:font w:name="方正小标宋简体">
    <w:panose1 w:val="03000509000000000000"/>
    <w:charset w:val="86"/>
    <w:family w:val="auto"/>
    <w:pitch w:val="default"/>
    <w:sig w:usb0="00000001" w:usb1="080E0000" w:usb2="00000000" w:usb3="00000000" w:csb0="00040000" w:csb1="00000000"/>
    <w:embedRegular r:id="rId6" w:fontKey="{9CAF1B6B-62C0-4BEC-A938-9408404B2537}"/>
  </w:font>
  <w:font w:name="方正公文黑体">
    <w:panose1 w:val="02000500000000000000"/>
    <w:charset w:val="86"/>
    <w:family w:val="auto"/>
    <w:pitch w:val="default"/>
    <w:sig w:usb0="A00002BF" w:usb1="38CF7CFA" w:usb2="00000016" w:usb3="00000000" w:csb0="00040001" w:csb1="00000000"/>
    <w:embedRegular r:id="rId7" w:fontKey="{1F98746E-30B8-4548-A7B7-F2DD24C5CBFF}"/>
  </w:font>
  <w:font w:name="方正仿宋简体">
    <w:altName w:val="微软雅黑"/>
    <w:panose1 w:val="03000509000000000000"/>
    <w:charset w:val="86"/>
    <w:family w:val="auto"/>
    <w:pitch w:val="default"/>
    <w:sig w:usb0="00000000" w:usb1="00000000" w:usb2="00000000" w:usb3="00000000" w:csb0="00040000" w:csb1="00000000"/>
    <w:embedRegular r:id="rId8" w:fontKey="{6B2D605F-EECB-4828-9395-1FD2BB4A13CD}"/>
  </w:font>
  <w:font w:name="方正黑体简体">
    <w:altName w:val="微软雅黑"/>
    <w:panose1 w:val="03000509000000000000"/>
    <w:charset w:val="86"/>
    <w:family w:val="auto"/>
    <w:pitch w:val="default"/>
    <w:sig w:usb0="00000000" w:usb1="00000000" w:usb2="00000000" w:usb3="00000000" w:csb0="00040000" w:csb1="00000000"/>
    <w:embedRegular r:id="rId9" w:fontKey="{F949A68A-F7F9-4897-B446-08E638140B31}"/>
  </w:font>
  <w:font w:name="方正黑体_GBK">
    <w:panose1 w:val="02010600010101010101"/>
    <w:charset w:val="86"/>
    <w:family w:val="auto"/>
    <w:pitch w:val="default"/>
    <w:sig w:usb0="00000001" w:usb1="080E0000" w:usb2="00000000" w:usb3="00000000" w:csb0="00040000" w:csb1="00000000"/>
    <w:embedRegular r:id="rId10" w:fontKey="{C5DF43F0-DD76-4529-B4FC-DB49565B32D9}"/>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E63BF">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36C24B">
                          <w:pPr>
                            <w:pStyle w:val="5"/>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D36C24B">
                    <w:pPr>
                      <w:pStyle w:val="5"/>
                    </w:pPr>
                    <w:r>
                      <w:fldChar w:fldCharType="begin"/>
                    </w:r>
                    <w:r>
                      <w:instrText xml:space="preserve"> PAGE  \* MERGEFORMAT </w:instrText>
                    </w:r>
                    <w:r>
                      <w:fldChar w:fldCharType="separate"/>
                    </w:r>
                    <w:r>
                      <w:t>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D55228"/>
    <w:rsid w:val="01EC2D0C"/>
    <w:rsid w:val="03666824"/>
    <w:rsid w:val="07E737B3"/>
    <w:rsid w:val="096864F2"/>
    <w:rsid w:val="15521B9A"/>
    <w:rsid w:val="21A65654"/>
    <w:rsid w:val="239857CE"/>
    <w:rsid w:val="258C1362"/>
    <w:rsid w:val="25E371D4"/>
    <w:rsid w:val="261F117F"/>
    <w:rsid w:val="27C13545"/>
    <w:rsid w:val="2F9F4A06"/>
    <w:rsid w:val="3099272A"/>
    <w:rsid w:val="364C4922"/>
    <w:rsid w:val="380A1DF4"/>
    <w:rsid w:val="383C4522"/>
    <w:rsid w:val="38F407D6"/>
    <w:rsid w:val="3DF5589F"/>
    <w:rsid w:val="3F3353EB"/>
    <w:rsid w:val="436C03B1"/>
    <w:rsid w:val="444E7AB7"/>
    <w:rsid w:val="4501362C"/>
    <w:rsid w:val="468679DC"/>
    <w:rsid w:val="47086643"/>
    <w:rsid w:val="4FB5673B"/>
    <w:rsid w:val="533D58C6"/>
    <w:rsid w:val="5CD55228"/>
    <w:rsid w:val="5E465C25"/>
    <w:rsid w:val="5EF84D97"/>
    <w:rsid w:val="5FD34CC4"/>
    <w:rsid w:val="5FF437B1"/>
    <w:rsid w:val="67727CB7"/>
    <w:rsid w:val="6C436189"/>
    <w:rsid w:val="6DAF2418"/>
    <w:rsid w:val="6DBE53FE"/>
    <w:rsid w:val="6E027099"/>
    <w:rsid w:val="701F03D6"/>
    <w:rsid w:val="704D3628"/>
    <w:rsid w:val="7AAD1F68"/>
    <w:rsid w:val="7CCC504D"/>
    <w:rsid w:val="7CDD13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semiHidden/>
    <w:qFormat/>
    <w:uiPriority w:val="0"/>
    <w:rPr>
      <w:rFonts w:ascii="Arial" w:hAnsi="Arial" w:eastAsia="Arial" w:cs="Arial"/>
      <w:sz w:val="21"/>
      <w:szCs w:val="21"/>
      <w:lang w:val="en-US" w:eastAsia="en-US" w:bidi="ar-SA"/>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oc 1"/>
    <w:basedOn w:val="1"/>
    <w:next w:val="1"/>
    <w:qFormat/>
    <w:uiPriority w:val="0"/>
  </w:style>
  <w:style w:type="paragraph" w:customStyle="1" w:styleId="10">
    <w:name w:val="WPSOffice手动目录 1"/>
    <w:qFormat/>
    <w:uiPriority w:val="0"/>
    <w:pPr>
      <w:ind w:leftChars="0"/>
    </w:pPr>
    <w:rPr>
      <w:rFonts w:asciiTheme="minorHAnsi" w:hAnsiTheme="minorHAnsi" w:eastAsiaTheme="minorEastAsia" w:cstheme="minorBidi"/>
      <w:sz w:val="20"/>
      <w:szCs w:val="20"/>
    </w:rPr>
  </w:style>
  <w:style w:type="paragraph" w:customStyle="1" w:styleId="11">
    <w:name w:val="页脚1"/>
    <w:basedOn w:val="1"/>
    <w:autoRedefine/>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104</Pages>
  <Words>28171</Words>
  <Characters>29681</Characters>
  <Lines>0</Lines>
  <Paragraphs>0</Paragraphs>
  <TotalTime>142</TotalTime>
  <ScaleCrop>false</ScaleCrop>
  <LinksUpToDate>false</LinksUpToDate>
  <CharactersWithSpaces>29716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2025-12-15T09:59:00Z</dcterms:created>
  <dc:creator>ASUS</dc:creator>
  <cp:lastModifiedBy>小融</cp:lastModifiedBy>
  <dcterms:modified xsi:type="dcterms:W3CDTF">2025-12-16T11:24:34Z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01A82D47CD174FE7B4DD6486D417ADDF_13</vt:lpwstr>
  </property>
  <property fmtid="{D5CDD505-2E9C-101B-9397-08002B2CF9AE}" pid="4" name="KSOTemplateDocerSaveRecord">
    <vt:lpwstr>eyJoZGlkIjoiYzdjNTY4NmFlNzhjYWJmMDY4NmE1Y2I1ZmVhNTFiMDIiLCJ1c2VySWQiOiIxNTk4NjYwNTg0In0=</vt:lpwstr>
  </property>
</Properties>
</file>